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10</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Context</w:t>
            </w:r>
            <w:r>
              <w:br/>
            </w:r>
            <w:r>
              <w:rPr>
                <w:b/>
                <w:i w:val="0"/>
                <w:color w:val="FFFFFF"/>
                <w:sz w:val="54"/>
              </w:rPr>
              <w:t>Windows</w:t>
            </w:r>
          </w:p>
        </w:tc>
      </w:tr>
    </w:tbl>
    <w:p>
      <w:pPr>
        <w:spacing w:before="240" w:after="312" w:line="244" w:lineRule="exact"/>
        <w:ind w:right="1104"/>
      </w:pPr>
      <w:r>
        <w:rPr>
          <w:b w:val="0"/>
          <w:i w:val="0"/>
          <w:color w:val="111111"/>
          <w:sz w:val="18"/>
        </w:rPr>
        <w:t>A pocket-sized guide to what fills a coding agent’s context window,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Counted</w:t>
            </w:r>
          </w:p>
        </w:tc>
      </w:tr>
      <w:tr>
        <w:trPr>
          <w:trHeight w:val="920" w:hRule="exact"/>
        </w:trPr>
        <w:tc>
          <w:tcPr>
            <w:tcW w:type="dxa" w:w="4600"/>
            <w:gridSpan w:val="5"/>
            <w:tcMar>
              <w:top w:w="0" w:type="dxa"/>
              <w:left w:w="0" w:type="dxa"/>
              <w:bottom w:w="0" w:type="dxa"/>
              <w:right w:w="95" w:type="dxa"/>
            </w:tcMar>
            <w:vAlign w:val="center"/>
          </w:tcPr>
          <w:p>
            <w:pPr>
              <w:spacing w:before="0" w:after="0" w:line="170" w:lineRule="exact"/>
              <w:jc w:val="right"/>
            </w:pPr>
            <w:r>
              <w:rPr>
                <w:b/>
                <w:i w:val="0"/>
                <w:color w:val="111111"/>
                <w:sz w:val="14"/>
              </w:rPr>
              <w:t>Token</w:t>
            </w:r>
          </w:p>
          <w:p>
            <w:pPr>
              <w:spacing w:before="0" w:after="0" w:line="170" w:lineRule="exact"/>
              <w:jc w:val="righ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Startup context</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4</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Compaction</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5</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New session</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5</w:t>
            </w:r>
            <w:r>
              <w:fldChar w:fldCharType="end"/>
            </w:r>
          </w:p>
        </w:tc>
      </w:tr>
    </w:tbl>
    <w:p>
      <w:pPr>
        <w:spacing w:before="0" w:after="0" w:line="20" w:lineRule="exact"/>
        <w:rPr>
          <w:sz w:val="2"/>
        </w:rPr>
        <w:sectPr>
          <w:footerReference w:type="default" r:id="rId18"/>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is the</w:t>
      </w:r>
      <w:r>
        <w:br/>
      </w:r>
      <w:r>
        <w:rPr>
          <w:b/>
          <w:i w:val="0"/>
          <w:color w:val="111111"/>
          <w:sz w:val="34"/>
        </w:rPr>
        <w:t>context window?</w:t>
      </w:r>
    </w:p>
    <w:p>
      <w:pPr>
        <w:spacing w:before="0" w:after="120" w:line="208" w:lineRule="exact"/>
      </w:pPr>
      <w:r>
        <w:rPr>
          <w:b w:val="0"/>
          <w:i w:val="0"/>
          <w:color w:val="111111"/>
          <w:sz w:val="15"/>
        </w:rPr>
        <w:t>The context window is everything the model can see on one call. It holds the instructions and tool descriptions the harness loads, your conversation, and every file and command output the agent has read. The window has a fixed size, so a long session fills it.</w:t>
      </w:r>
    </w:p>
    <w:p>
      <w:pPr>
        <w:spacing w:before="0" w:after="120" w:line="208" w:lineRule="exact"/>
      </w:pPr>
      <w:r>
        <w:rPr>
          <w:b w:val="0"/>
          <w:i w:val="0"/>
          <w:color w:val="111111"/>
          <w:sz w:val="15"/>
        </w:rPr>
        <w:t>An Accidental Guide to: Agents, Harnesses, Skills, and Tools covers the basics and lists what the window holds. These four ideas explain how the window fills up and how you keep room for the work.</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Token</w:t>
            </w:r>
          </w:p>
        </w:tc>
        <w:tc>
          <w:tcPr>
            <w:tcW w:type="dxa" w:w="4120"/>
            <w:shd w:val="clear" w:color="auto" w:fill="EBEBEB"/>
          </w:tcPr>
          <w:p>
            <w:pPr>
              <w:spacing w:line="172" w:lineRule="exact"/>
            </w:pPr>
            <w:r>
              <w:rPr>
                <w:b w:val="0"/>
                <w:i w:val="0"/>
                <w:color w:val="111111"/>
                <w:sz w:val="14"/>
              </w:rPr>
              <w:t>A short piece of text used to count the window’s size and usage.</w:t>
            </w:r>
          </w:p>
        </w:tc>
      </w:tr>
      <w:tr>
        <w:tc>
          <w:tcPr>
            <w:tcW w:type="dxa" w:w="1400"/>
            <w:shd w:val="clear" w:color="auto" w:fill="EBEBEB"/>
          </w:tcPr>
          <w:p>
            <w:pPr>
              <w:spacing w:line="172" w:lineRule="exact"/>
            </w:pPr>
            <w:r>
              <w:rPr>
                <w:b/>
                <w:i w:val="0"/>
                <w:color w:val="111111"/>
                <w:sz w:val="13"/>
              </w:rPr>
              <w:t>Startup context</w:t>
            </w:r>
          </w:p>
        </w:tc>
        <w:tc>
          <w:tcPr>
            <w:tcW w:type="dxa" w:w="4120"/>
            <w:shd w:val="clear" w:color="auto" w:fill="EBEBEB"/>
          </w:tcPr>
          <w:p>
            <w:pPr>
              <w:spacing w:line="172" w:lineRule="exact"/>
            </w:pPr>
            <w:r>
              <w:rPr>
                <w:b w:val="0"/>
                <w:i w:val="0"/>
                <w:color w:val="111111"/>
                <w:sz w:val="14"/>
              </w:rPr>
              <w:t>What the harness loads before your first message.</w:t>
            </w:r>
          </w:p>
        </w:tc>
      </w:tr>
      <w:tr>
        <w:tc>
          <w:tcPr>
            <w:tcW w:type="dxa" w:w="1400"/>
            <w:shd w:val="clear" w:color="auto" w:fill="EBEBEB"/>
          </w:tcPr>
          <w:p>
            <w:pPr>
              <w:spacing w:line="172" w:lineRule="exact"/>
            </w:pPr>
            <w:r>
              <w:rPr>
                <w:b/>
                <w:i w:val="0"/>
                <w:color w:val="111111"/>
                <w:sz w:val="13"/>
              </w:rPr>
              <w:t>Compaction</w:t>
            </w:r>
          </w:p>
        </w:tc>
        <w:tc>
          <w:tcPr>
            <w:tcW w:type="dxa" w:w="4120"/>
            <w:shd w:val="clear" w:color="auto" w:fill="EBEBEB"/>
          </w:tcPr>
          <w:p>
            <w:pPr>
              <w:spacing w:line="172" w:lineRule="exact"/>
            </w:pPr>
            <w:r>
              <w:rPr>
                <w:b w:val="0"/>
                <w:i w:val="0"/>
                <w:color w:val="111111"/>
                <w:sz w:val="14"/>
              </w:rPr>
              <w:t>Replacing older conversation with a summary when the window is nearly full.</w:t>
            </w:r>
          </w:p>
        </w:tc>
      </w:tr>
      <w:tr>
        <w:tc>
          <w:tcPr>
            <w:tcW w:type="dxa" w:w="1400"/>
            <w:shd w:val="clear" w:color="auto" w:fill="EBEBEB"/>
          </w:tcPr>
          <w:p>
            <w:pPr>
              <w:spacing w:line="172" w:lineRule="exact"/>
            </w:pPr>
            <w:r>
              <w:rPr>
                <w:b/>
                <w:i w:val="0"/>
                <w:color w:val="111111"/>
                <w:sz w:val="13"/>
              </w:rPr>
              <w:t>New session</w:t>
            </w:r>
          </w:p>
        </w:tc>
        <w:tc>
          <w:tcPr>
            <w:tcW w:type="dxa" w:w="4120"/>
            <w:shd w:val="clear" w:color="auto" w:fill="EBEBEB"/>
          </w:tcPr>
          <w:p>
            <w:pPr>
              <w:spacing w:line="172" w:lineRule="exact"/>
            </w:pPr>
            <w:r>
              <w:rPr>
                <w:b w:val="0"/>
                <w:i w:val="0"/>
                <w:color w:val="111111"/>
                <w:sz w:val="14"/>
              </w:rPr>
              <w:t>An empty conversation that starts with only the startup context.</w:t>
            </w:r>
          </w:p>
        </w:tc>
      </w:tr>
    </w:tbl>
    <w:p>
      <w:pPr>
        <w:spacing w:before="0" w:after="40" w:line="55" w:lineRule="exact"/>
      </w:pPr>
    </w:p>
    <w:p>
      <w:r>
        <w:br w:type="page"/>
      </w:r>
    </w:p>
    <w:p>
      <w:pPr>
        <w:pStyle w:val="Heading1"/>
        <w:keepNext/>
        <w:spacing w:before="0" w:after="160" w:line="381" w:lineRule="exact"/>
      </w:pPr>
      <w:r>
        <w:rPr>
          <w:b/>
          <w:i w:val="0"/>
          <w:color w:val="111111"/>
          <w:sz w:val="34"/>
        </w:rPr>
        <w:t>What takes up room?</w:t>
      </w:r>
    </w:p>
    <w:p>
      <w:pPr>
        <w:spacing w:after="160"/>
      </w:pPr>
      <w:r>
        <w:drawing>
          <wp:inline xmlns:a="http://schemas.openxmlformats.org/drawingml/2006/main" xmlns:pic="http://schemas.openxmlformats.org/drawingml/2006/picture">
            <wp:extent cx="3556000" cy="3504155"/>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556000" cy="3504155"/>
                    </a:xfrm>
                    <a:prstGeom prst="rect"/>
                  </pic:spPr>
                </pic:pic>
              </a:graphicData>
            </a:graphic>
          </wp:inline>
        </w:drawing>
      </w:r>
    </w:p>
    <w:p>
      <w:pPr>
        <w:spacing w:before="0" w:after="120" w:line="208" w:lineRule="exact"/>
      </w:pPr>
      <w:r>
        <w:rPr>
          <w:b w:val="0"/>
          <w:i w:val="0"/>
          <w:color w:val="111111"/>
          <w:sz w:val="15"/>
        </w:rPr>
        <w:t>The startup context loads before you type your first message and stays in the window for the whole session. The conversation grows with every message you exchange and every file and command output the agent reads. Compaction replaces the conversation with a short summary. A new session has only the startup context. The sizes in the picture are examples.</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A crowded window can give worse answers before it’s full, because the model has more to read and the details you need are harder to find. To see how full yours is, run </w:t>
            </w:r>
            <w:r>
              <w:rPr>
                <w:rFonts w:ascii="Liberation Mono" w:hAnsi="Liberation Mono"/>
                <w:b w:val="0"/>
                <w:i w:val="0"/>
                <w:color w:val="111111"/>
                <w:sz w:val="12"/>
              </w:rPr>
              <w:t>/context</w:t>
            </w:r>
            <w:r>
              <w:rPr>
                <w:b w:val="0"/>
                <w:i w:val="0"/>
                <w:color w:val="111111"/>
                <w:sz w:val="14"/>
              </w:rPr>
              <w:t xml:space="preserve"> in Claude Code or GitHub Copilot CLI, or </w:t>
            </w:r>
            <w:r>
              <w:rPr>
                <w:rFonts w:ascii="Liberation Mono" w:hAnsi="Liberation Mono"/>
                <w:b w:val="0"/>
                <w:i w:val="0"/>
                <w:color w:val="111111"/>
                <w:sz w:val="12"/>
              </w:rPr>
              <w:t>/status</w:t>
            </w:r>
            <w:r>
              <w:rPr>
                <w:b w:val="0"/>
                <w:i w:val="0"/>
                <w:color w:val="111111"/>
                <w:sz w:val="14"/>
              </w:rPr>
              <w:t xml:space="preserve"> in Codex, as of October 2026.</w:t>
            </w:r>
          </w:p>
        </w:tc>
      </w:tr>
    </w:tbl>
    <w:p>
      <w:pPr>
        <w:spacing w:before="0" w:after="8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Token</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window size, usage count or price stated in tokens.</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token is a short piece of text.</w:t>
            </w:r>
            <w:r>
              <w:rPr>
                <w:b w:val="0"/>
                <w:i w:val="0"/>
                <w:color w:val="111111"/>
                <w:sz w:val="15"/>
              </w:rPr>
              <w:t xml:space="preserve"> Window sizes, usage and prices are all counted in tokens.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whole window is sent on every call.</w:t>
            </w:r>
            <w:r>
              <w:rPr>
                <w:b w:val="0"/>
                <w:i w:val="0"/>
                <w:color w:val="111111"/>
                <w:sz w:val="15"/>
              </w:rPr>
              <w:t xml:space="preserve"> A large file or log costs its tokens again on every later call.</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Controlled by</w:t>
            </w:r>
            <w:r>
              <w:br/>
            </w:r>
            <w:r>
              <w:rPr>
                <w:b/>
                <w:i w:val="0"/>
                <w:color w:val="111111"/>
                <w:sz w:val="14"/>
              </w:rPr>
              <w:t>The model you pick.</w:t>
            </w:r>
          </w:p>
        </w:tc>
        <w:tc>
          <w:tcPr>
            <w:tcW w:type="dxa" w:w="1840"/>
            <w:shd w:val="clear" w:color="auto" w:fill="EBEBEB"/>
          </w:tcPr>
          <w:p>
            <w:pPr>
              <w:spacing w:line="172" w:lineRule="exact"/>
            </w:pPr>
            <w:r>
              <w:rPr>
                <w:b/>
                <w:i w:val="0"/>
                <w:color w:val="5F5F5F"/>
                <w:sz w:val="13"/>
              </w:rPr>
              <w:t>Cannot</w:t>
            </w:r>
            <w:r>
              <w:br/>
            </w:r>
            <w:r>
              <w:rPr>
                <w:b/>
                <w:i w:val="0"/>
                <w:color w:val="111111"/>
                <w:sz w:val="14"/>
              </w:rPr>
              <w:t>Be counted from words.</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Word</w:t>
            </w:r>
            <w:r>
              <w:br/>
            </w:r>
            <w:r>
              <w:rPr>
                <w:b w:val="0"/>
                <w:i w:val="0"/>
                <w:color w:val="111111"/>
                <w:sz w:val="14"/>
              </w:rPr>
              <w:t>A short, common word is often one token. A long or rare word can take several.</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Startup context</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Content in the window before your first message.</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Startup context is what the harness loads first.</w:t>
            </w:r>
            <w:r>
              <w:rPr>
                <w:b w:val="0"/>
                <w:i w:val="0"/>
                <w:color w:val="111111"/>
                <w:sz w:val="15"/>
              </w:rPr>
              <w:t xml:space="preserve"> That’s the system prompt, instructions files, skill and sub-agent descriptions, and tool definitions.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Startup context is sent on every call.</w:t>
            </w:r>
            <w:r>
              <w:rPr>
                <w:b w:val="0"/>
                <w:i w:val="0"/>
                <w:color w:val="111111"/>
                <w:sz w:val="15"/>
              </w:rPr>
              <w:t xml:space="preserve"> Long instructions files and many MCP servers take room before you start.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Controlled by</w:t>
            </w:r>
            <w:r>
              <w:br/>
            </w:r>
            <w:r>
              <w:rPr>
                <w:b/>
                <w:i w:val="0"/>
                <w:color w:val="111111"/>
                <w:sz w:val="14"/>
              </w:rPr>
              <w:t>You and the harness.</w:t>
            </w:r>
          </w:p>
        </w:tc>
        <w:tc>
          <w:tcPr>
            <w:tcW w:type="dxa" w:w="1840"/>
            <w:shd w:val="clear" w:color="auto" w:fill="EBEBEB"/>
          </w:tcPr>
          <w:p>
            <w:pPr>
              <w:spacing w:line="172" w:lineRule="exact"/>
            </w:pPr>
            <w:r>
              <w:rPr>
                <w:b/>
                <w:i w:val="0"/>
                <w:color w:val="5F5F5F"/>
                <w:sz w:val="13"/>
              </w:rPr>
              <w:t>Cannot</w:t>
            </w:r>
            <w:r>
              <w:br/>
            </w:r>
            <w:r>
              <w:rPr>
                <w:b/>
                <w:i w:val="0"/>
                <w:color w:val="111111"/>
                <w:sz w:val="14"/>
              </w:rPr>
              <w:t>Hold every procedure cheaply.</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Memory</w:t>
            </w:r>
            <w:r>
              <w:br/>
            </w:r>
            <w:r>
              <w:rPr>
                <w:b w:val="0"/>
                <w:i w:val="0"/>
                <w:color w:val="111111"/>
                <w:sz w:val="14"/>
              </w:rPr>
              <w:t>Harness memory is a file of notes loaded with the startup context. The model keeps nothing between calls.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Compaction</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message saying the conversation was compacted.</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Compaction swaps older conversation for a summary.</w:t>
            </w:r>
            <w:r>
              <w:rPr>
                <w:b w:val="0"/>
                <w:i w:val="0"/>
                <w:color w:val="111111"/>
                <w:sz w:val="15"/>
              </w:rPr>
              <w:t xml:space="preserve"> GitHub Copilot CLI does it at about 80 percent full, as of October 2026.</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Compaction can lose early instructions and exact output.</w:t>
            </w:r>
            <w:r>
              <w:rPr>
                <w:b w:val="0"/>
                <w:i w:val="0"/>
                <w:color w:val="111111"/>
                <w:sz w:val="15"/>
              </w:rPr>
              <w:t xml:space="preserve"> Rules that must last belong in an instructions file.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Controlled by</w:t>
            </w:r>
            <w:r>
              <w:br/>
            </w:r>
            <w:r>
              <w:rPr>
                <w:b/>
                <w:i w:val="0"/>
                <w:color w:val="111111"/>
                <w:sz w:val="14"/>
              </w:rPr>
              <w:t>The harness and you.</w:t>
            </w:r>
          </w:p>
        </w:tc>
        <w:tc>
          <w:tcPr>
            <w:tcW w:type="dxa" w:w="1840"/>
            <w:shd w:val="clear" w:color="auto" w:fill="EBEBEB"/>
          </w:tcPr>
          <w:p>
            <w:pPr>
              <w:spacing w:line="172" w:lineRule="exact"/>
            </w:pPr>
            <w:r>
              <w:rPr>
                <w:b/>
                <w:i w:val="0"/>
                <w:color w:val="5F5F5F"/>
                <w:sz w:val="13"/>
              </w:rPr>
              <w:t>Cannot</w:t>
            </w:r>
            <w:r>
              <w:br/>
            </w:r>
            <w:r>
              <w:rPr>
                <w:b/>
                <w:i w:val="0"/>
                <w:color w:val="111111"/>
                <w:sz w:val="14"/>
              </w:rPr>
              <w:t>Bring lost detail back.</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Trimming</w:t>
            </w:r>
            <w:r>
              <w:br/>
            </w:r>
            <w:r>
              <w:rPr>
                <w:b w:val="0"/>
                <w:i w:val="0"/>
                <w:color w:val="111111"/>
                <w:sz w:val="14"/>
              </w:rPr>
              <w:t>Trimming drops old content without a summary. Some harnesses trim before they compact.</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New session</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An empty conversation after </w:t>
            </w:r>
            <w:r>
              <w:rPr>
                <w:rFonts w:ascii="Liberation Mono" w:hAnsi="Liberation Mono"/>
                <w:b w:val="0"/>
                <w:i w:val="0"/>
                <w:color w:val="111111"/>
                <w:sz w:val="12"/>
              </w:rPr>
              <w:t>/clear</w:t>
            </w:r>
            <w:r>
              <w:rPr>
                <w:b w:val="0"/>
                <w:i w:val="0"/>
                <w:color w:val="111111"/>
                <w:sz w:val="14"/>
              </w:rPr>
              <w:t xml:space="preserve">, </w:t>
            </w:r>
            <w:r>
              <w:rPr>
                <w:rFonts w:ascii="Liberation Mono" w:hAnsi="Liberation Mono"/>
                <w:b w:val="0"/>
                <w:i w:val="0"/>
                <w:color w:val="111111"/>
                <w:sz w:val="12"/>
              </w:rPr>
              <w:t>/new</w:t>
            </w:r>
            <w:r>
              <w:rPr>
                <w:b w:val="0"/>
                <w:i w:val="0"/>
                <w:color w:val="111111"/>
                <w:sz w:val="14"/>
              </w:rPr>
              <w:t xml:space="preserve"> or opening a session.</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new session starts with only the startup context.</w:t>
            </w:r>
            <w:r>
              <w:rPr>
                <w:b w:val="0"/>
                <w:i w:val="0"/>
                <w:color w:val="111111"/>
                <w:sz w:val="15"/>
              </w:rPr>
              <w:t xml:space="preserve"> Only content saved in files carries over.</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 fresh window has room for a new task.</w:t>
            </w:r>
            <w:r>
              <w:rPr>
                <w:b w:val="0"/>
                <w:i w:val="0"/>
                <w:color w:val="111111"/>
                <w:sz w:val="15"/>
              </w:rPr>
              <w:t xml:space="preserve"> Have the agent save its plan and progress to a file first.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Controlled by</w:t>
            </w:r>
            <w:r>
              <w:br/>
            </w:r>
            <w:r>
              <w:rPr>
                <w:b/>
                <w:i w:val="0"/>
                <w:color w:val="111111"/>
                <w:sz w:val="14"/>
              </w:rPr>
              <w:t>You.</w:t>
            </w:r>
          </w:p>
        </w:tc>
        <w:tc>
          <w:tcPr>
            <w:tcW w:type="dxa" w:w="1840"/>
            <w:shd w:val="clear" w:color="auto" w:fill="EBEBEB"/>
          </w:tcPr>
          <w:p>
            <w:pPr>
              <w:spacing w:line="172" w:lineRule="exact"/>
            </w:pPr>
            <w:r>
              <w:rPr>
                <w:b/>
                <w:i w:val="0"/>
                <w:color w:val="5F5F5F"/>
                <w:sz w:val="13"/>
              </w:rPr>
              <w:t>Cannot</w:t>
            </w:r>
            <w:r>
              <w:br/>
            </w:r>
            <w:r>
              <w:rPr>
                <w:b/>
                <w:i w:val="0"/>
                <w:color w:val="111111"/>
                <w:sz w:val="14"/>
              </w:rPr>
              <w:t>Recall the old conversation.</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Compaction</w:t>
            </w:r>
            <w:r>
              <w:br/>
            </w:r>
            <w:r>
              <w:rPr>
                <w:b w:val="0"/>
                <w:i w:val="0"/>
                <w:color w:val="111111"/>
                <w:sz w:val="14"/>
              </w:rPr>
              <w:t>Compaction keeps a summary in the same session. A new session keeps only files.</w:t>
            </w:r>
          </w:p>
        </w:tc>
      </w:tr>
    </w:tbl>
    <w:p>
      <w:pPr>
        <w:spacing w:before="0" w:after="40" w:line="55" w:lineRule="exact"/>
      </w:pPr>
    </w:p>
    <w:p>
      <w:r>
        <w:br w:type="page"/>
      </w:r>
    </w:p>
    <w:p>
      <w:pPr>
        <w:pStyle w:val="Heading1"/>
        <w:keepNext/>
        <w:spacing w:before="0" w:after="160" w:line="381" w:lineRule="exact"/>
      </w:pPr>
      <w:r>
        <w:rPr>
          <w:b/>
          <w:i w:val="0"/>
          <w:color w:val="111111"/>
          <w:sz w:val="34"/>
        </w:rPr>
        <w:t>What keeps the</w:t>
      </w:r>
      <w:r>
        <w:br/>
      </w:r>
      <w:r>
        <w:rPr>
          <w:b/>
          <w:i w:val="0"/>
          <w:color w:val="111111"/>
          <w:sz w:val="34"/>
        </w:rPr>
        <w:t>window useful?</w:t>
      </w:r>
    </w:p>
    <w:p>
      <w:pPr>
        <w:spacing w:before="0" w:after="120" w:line="208" w:lineRule="exact"/>
      </w:pPr>
      <w:r>
        <w:rPr>
          <w:b w:val="0"/>
          <w:i w:val="0"/>
          <w:color w:val="111111"/>
          <w:sz w:val="15"/>
        </w:rPr>
        <w:t>A few habits keep the window small and on topic, so the model can find what matters.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2240"/>
        <w:gridCol w:w="3280"/>
      </w:tblGrid>
      <w:tr>
        <w:tc>
          <w:tcPr>
            <w:tcW w:type="dxa" w:w="2240"/>
            <w:shd w:val="clear" w:color="auto" w:fill="EBEBEB"/>
          </w:tcPr>
          <w:p>
            <w:pPr>
              <w:spacing w:line="172" w:lineRule="exact"/>
            </w:pPr>
            <w:r>
              <w:rPr>
                <w:b/>
                <w:i w:val="0"/>
                <w:color w:val="111111"/>
                <w:sz w:val="13"/>
              </w:rPr>
              <w:t>Start fresh for unrelated work</w:t>
            </w:r>
          </w:p>
        </w:tc>
        <w:tc>
          <w:tcPr>
            <w:tcW w:type="dxa" w:w="3280"/>
            <w:shd w:val="clear" w:color="auto" w:fill="EBEBEB"/>
          </w:tcPr>
          <w:p>
            <w:pPr>
              <w:spacing w:line="172" w:lineRule="exact"/>
            </w:pPr>
            <w:r>
              <w:rPr>
                <w:b w:val="0"/>
                <w:i w:val="0"/>
                <w:color w:val="111111"/>
                <w:sz w:val="14"/>
              </w:rPr>
              <w:t>A new session gives the next task an empty conversation.</w:t>
            </w:r>
          </w:p>
        </w:tc>
      </w:tr>
      <w:tr>
        <w:tc>
          <w:tcPr>
            <w:tcW w:type="dxa" w:w="2240"/>
            <w:shd w:val="clear" w:color="auto" w:fill="EBEBEB"/>
          </w:tcPr>
          <w:p>
            <w:pPr>
              <w:spacing w:line="172" w:lineRule="exact"/>
            </w:pPr>
            <w:r>
              <w:rPr>
                <w:b/>
                <w:i w:val="0"/>
                <w:color w:val="111111"/>
                <w:sz w:val="13"/>
              </w:rPr>
              <w:t>Save the plan and progress</w:t>
            </w:r>
          </w:p>
        </w:tc>
        <w:tc>
          <w:tcPr>
            <w:tcW w:type="dxa" w:w="3280"/>
            <w:shd w:val="clear" w:color="auto" w:fill="EBEBEB"/>
          </w:tcPr>
          <w:p>
            <w:pPr>
              <w:spacing w:line="172" w:lineRule="exact"/>
            </w:pPr>
            <w:r>
              <w:rPr>
                <w:b w:val="0"/>
                <w:i w:val="0"/>
                <w:color w:val="111111"/>
                <w:sz w:val="14"/>
              </w:rPr>
              <w:t>A file carries what matters into the next session.</w:t>
            </w:r>
          </w:p>
        </w:tc>
      </w:tr>
      <w:tr>
        <w:tc>
          <w:tcPr>
            <w:tcW w:type="dxa" w:w="2240"/>
            <w:shd w:val="clear" w:color="auto" w:fill="EBEBEB"/>
          </w:tcPr>
          <w:p>
            <w:pPr>
              <w:spacing w:line="172" w:lineRule="exact"/>
            </w:pPr>
            <w:r>
              <w:rPr>
                <w:b/>
                <w:i w:val="0"/>
                <w:color w:val="111111"/>
                <w:sz w:val="13"/>
              </w:rPr>
              <w:t>Send long work to sub-agents</w:t>
            </w:r>
          </w:p>
        </w:tc>
        <w:tc>
          <w:tcPr>
            <w:tcW w:type="dxa" w:w="3280"/>
            <w:shd w:val="clear" w:color="auto" w:fill="EBEBEB"/>
          </w:tcPr>
          <w:p>
            <w:pPr>
              <w:spacing w:line="172" w:lineRule="exact"/>
            </w:pPr>
            <w:r>
              <w:rPr>
                <w:b w:val="0"/>
                <w:i w:val="0"/>
                <w:color w:val="111111"/>
                <w:sz w:val="14"/>
              </w:rPr>
              <w:t>Searches, test runs and log reading stay in separate windows. Only summaries return.</w:t>
            </w:r>
          </w:p>
        </w:tc>
      </w:tr>
      <w:tr>
        <w:tc>
          <w:tcPr>
            <w:tcW w:type="dxa" w:w="2240"/>
            <w:shd w:val="clear" w:color="auto" w:fill="EBEBEB"/>
          </w:tcPr>
          <w:p>
            <w:pPr>
              <w:spacing w:line="172" w:lineRule="exact"/>
            </w:pPr>
            <w:r>
              <w:rPr>
                <w:b/>
                <w:i w:val="0"/>
                <w:color w:val="111111"/>
                <w:sz w:val="13"/>
              </w:rPr>
              <w:t>Read only what you need</w:t>
            </w:r>
          </w:p>
        </w:tc>
        <w:tc>
          <w:tcPr>
            <w:tcW w:type="dxa" w:w="3280"/>
            <w:shd w:val="clear" w:color="auto" w:fill="EBEBEB"/>
          </w:tcPr>
          <w:p>
            <w:pPr>
              <w:spacing w:line="172" w:lineRule="exact"/>
            </w:pPr>
            <w:r>
              <w:rPr>
                <w:b w:val="0"/>
                <w:i w:val="0"/>
                <w:color w:val="111111"/>
                <w:sz w:val="14"/>
              </w:rPr>
              <w:t>Ask for one function or only the failing tests.</w:t>
            </w:r>
          </w:p>
        </w:tc>
      </w:tr>
      <w:tr>
        <w:tc>
          <w:tcPr>
            <w:tcW w:type="dxa" w:w="2240"/>
            <w:shd w:val="clear" w:color="auto" w:fill="EBEBEB"/>
          </w:tcPr>
          <w:p>
            <w:pPr>
              <w:spacing w:line="172" w:lineRule="exact"/>
            </w:pPr>
            <w:r>
              <w:rPr>
                <w:b/>
                <w:i w:val="0"/>
                <w:color w:val="111111"/>
                <w:sz w:val="13"/>
              </w:rPr>
              <w:t>Keep instructions files short</w:t>
            </w:r>
          </w:p>
        </w:tc>
        <w:tc>
          <w:tcPr>
            <w:tcW w:type="dxa" w:w="3280"/>
            <w:shd w:val="clear" w:color="auto" w:fill="EBEBEB"/>
          </w:tcPr>
          <w:p>
            <w:pPr>
              <w:spacing w:line="172" w:lineRule="exact"/>
            </w:pPr>
            <w:r>
              <w:rPr>
                <w:b w:val="0"/>
                <w:i w:val="0"/>
                <w:color w:val="111111"/>
                <w:sz w:val="14"/>
              </w:rPr>
              <w:t>Startup context is sent on every call. Move specific procedures into skills.</w:t>
            </w:r>
          </w:p>
        </w:tc>
      </w:tr>
      <w:tr>
        <w:tc>
          <w:tcPr>
            <w:tcW w:type="dxa" w:w="2240"/>
            <w:shd w:val="clear" w:color="auto" w:fill="EBEBEB"/>
          </w:tcPr>
          <w:p>
            <w:pPr>
              <w:spacing w:line="172" w:lineRule="exact"/>
            </w:pPr>
            <w:r>
              <w:rPr>
                <w:b/>
                <w:i w:val="0"/>
                <w:color w:val="111111"/>
                <w:sz w:val="13"/>
              </w:rPr>
              <w:t>Compact at a natural break</w:t>
            </w:r>
          </w:p>
        </w:tc>
        <w:tc>
          <w:tcPr>
            <w:tcW w:type="dxa" w:w="3280"/>
            <w:shd w:val="clear" w:color="auto" w:fill="EBEBEB"/>
          </w:tcPr>
          <w:p>
            <w:pPr>
              <w:spacing w:line="172" w:lineRule="exact"/>
            </w:pPr>
            <w:r>
              <w:rPr>
                <w:b w:val="0"/>
                <w:i w:val="0"/>
                <w:color w:val="111111"/>
                <w:sz w:val="14"/>
              </w:rPr>
              <w:t xml:space="preserve">When one part of the work is done, run </w:t>
            </w:r>
            <w:r>
              <w:rPr>
                <w:rFonts w:ascii="Liberation Mono" w:hAnsi="Liberation Mono"/>
                <w:b w:val="0"/>
                <w:i w:val="0"/>
                <w:color w:val="111111"/>
                <w:sz w:val="12"/>
              </w:rPr>
              <w:t>/compact</w:t>
            </w:r>
            <w:r>
              <w:rPr>
                <w:b w:val="0"/>
                <w:i w:val="0"/>
                <w:color w:val="111111"/>
                <w:sz w:val="14"/>
              </w:rPr>
              <w:t xml:space="preserve"> and say what to keep.</w:t>
            </w:r>
          </w:p>
        </w:tc>
      </w:tr>
    </w:tbl>
    <w:p>
      <w:pPr>
        <w:spacing w:before="0" w:after="40" w:line="55" w:lineRule="exact"/>
      </w:pPr>
    </w:p>
    <w:p>
      <w:pPr>
        <w:sectPr>
          <w:footerReference w:type="default" r:id="rId19"/>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on 22 October 2026, and harnesses change often.</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Anthropic, Claude Code: Explore the context window</w:t>
            </w:r>
            <w:r>
              <w:br/>
            </w:r>
            <w:r>
              <w:rPr>
                <w:rFonts w:ascii="Liberation Mono" w:hAnsi="Liberation Mono"/>
                <w:b w:val="0"/>
                <w:i w:val="0"/>
                <w:color w:val="5F5F5F"/>
                <w:sz w:val="11"/>
              </w:rPr>
              <w:t>code.claude.com/docs/en/context-window</w:t>
            </w:r>
          </w:p>
        </w:tc>
      </w:tr>
      <w:tr>
        <w:tc>
          <w:tcPr>
            <w:tcW w:type="dxa" w:w="5520"/>
          </w:tcPr>
          <w:p>
            <w:pPr>
              <w:spacing w:line="172" w:lineRule="exact"/>
            </w:pPr>
            <w:r>
              <w:rPr>
                <w:b/>
                <w:i w:val="0"/>
                <w:color w:val="111111"/>
                <w:sz w:val="13"/>
              </w:rPr>
              <w:t>Anthropic, Claude Code: How Claude Code works</w:t>
            </w:r>
            <w:r>
              <w:br/>
            </w:r>
            <w:r>
              <w:rPr>
                <w:rFonts w:ascii="Liberation Mono" w:hAnsi="Liberation Mono"/>
                <w:b w:val="0"/>
                <w:i w:val="0"/>
                <w:color w:val="5F5F5F"/>
                <w:sz w:val="11"/>
              </w:rPr>
              <w:t>code.claude.com/docs/en/how-claude-code-works</w:t>
            </w:r>
          </w:p>
        </w:tc>
      </w:tr>
      <w:tr>
        <w:tc>
          <w:tcPr>
            <w:tcW w:type="dxa" w:w="5520"/>
          </w:tcPr>
          <w:p>
            <w:pPr>
              <w:spacing w:line="172" w:lineRule="exact"/>
            </w:pPr>
            <w:r>
              <w:rPr>
                <w:b/>
                <w:i w:val="0"/>
                <w:color w:val="111111"/>
                <w:sz w:val="13"/>
              </w:rPr>
              <w:t>Anthropic, Claude Code: Manage costs effectively</w:t>
            </w:r>
            <w:r>
              <w:br/>
            </w:r>
            <w:r>
              <w:rPr>
                <w:rFonts w:ascii="Liberation Mono" w:hAnsi="Liberation Mono"/>
                <w:b w:val="0"/>
                <w:i w:val="0"/>
                <w:color w:val="5F5F5F"/>
                <w:sz w:val="11"/>
              </w:rPr>
              <w:t>code.claude.com/docs/en/costs</w:t>
            </w:r>
          </w:p>
        </w:tc>
      </w:tr>
      <w:tr>
        <w:tc>
          <w:tcPr>
            <w:tcW w:type="dxa" w:w="5520"/>
          </w:tcPr>
          <w:p>
            <w:pPr>
              <w:spacing w:line="172" w:lineRule="exact"/>
            </w:pPr>
            <w:r>
              <w:rPr>
                <w:b/>
                <w:i w:val="0"/>
                <w:color w:val="111111"/>
                <w:sz w:val="13"/>
              </w:rPr>
              <w:t>Anthropic, Context windows</w:t>
            </w:r>
            <w:r>
              <w:br/>
            </w:r>
            <w:r>
              <w:rPr>
                <w:rFonts w:ascii="Liberation Mono" w:hAnsi="Liberation Mono"/>
                <w:b w:val="0"/>
                <w:i w:val="0"/>
                <w:color w:val="5F5F5F"/>
                <w:sz w:val="11"/>
              </w:rPr>
              <w:t>platform.claude.com/docs/en/build-with-claude/context-windows</w:t>
            </w:r>
          </w:p>
        </w:tc>
      </w:tr>
      <w:tr>
        <w:tc>
          <w:tcPr>
            <w:tcW w:type="dxa" w:w="5520"/>
          </w:tcPr>
          <w:p>
            <w:pPr>
              <w:spacing w:line="172" w:lineRule="exact"/>
            </w:pPr>
            <w:r>
              <w:rPr>
                <w:b/>
                <w:i w:val="0"/>
                <w:color w:val="111111"/>
                <w:sz w:val="13"/>
              </w:rPr>
              <w:t>Anthropic, Effective context engineering for AI agents</w:t>
            </w:r>
            <w:r>
              <w:br/>
            </w:r>
            <w:r>
              <w:rPr>
                <w:rFonts w:ascii="Liberation Mono" w:hAnsi="Liberation Mono"/>
                <w:b w:val="0"/>
                <w:i w:val="0"/>
                <w:color w:val="5F5F5F"/>
                <w:sz w:val="11"/>
              </w:rPr>
              <w:t>anthropic.com/engineering/effective-context-engineering-for-ai-agents</w:t>
            </w:r>
          </w:p>
        </w:tc>
      </w:tr>
      <w:tr>
        <w:tc>
          <w:tcPr>
            <w:tcW w:type="dxa" w:w="5520"/>
          </w:tcPr>
          <w:p>
            <w:pPr>
              <w:spacing w:line="172" w:lineRule="exact"/>
            </w:pPr>
            <w:r>
              <w:rPr>
                <w:b/>
                <w:i w:val="0"/>
                <w:color w:val="111111"/>
                <w:sz w:val="13"/>
              </w:rPr>
              <w:t>GitHub, About context management</w:t>
            </w:r>
            <w:r>
              <w:br/>
            </w:r>
            <w:r>
              <w:rPr>
                <w:rFonts w:ascii="Liberation Mono" w:hAnsi="Liberation Mono"/>
                <w:b w:val="0"/>
                <w:i w:val="0"/>
                <w:color w:val="5F5F5F"/>
                <w:sz w:val="11"/>
              </w:rPr>
              <w:t>docs.github.com/en/copilot/concepts/prompting-and-context/context-management</w:t>
            </w:r>
          </w:p>
        </w:tc>
      </w:tr>
      <w:tr>
        <w:tc>
          <w:tcPr>
            <w:tcW w:type="dxa" w:w="5520"/>
          </w:tcPr>
          <w:p>
            <w:pPr>
              <w:spacing w:line="172" w:lineRule="exact"/>
            </w:pPr>
            <w:r>
              <w:rPr>
                <w:b/>
                <w:i w:val="0"/>
                <w:color w:val="111111"/>
                <w:sz w:val="13"/>
              </w:rPr>
              <w:t>OpenAI, Codex commands</w:t>
            </w:r>
            <w:r>
              <w:br/>
            </w:r>
            <w:r>
              <w:rPr>
                <w:rFonts w:ascii="Liberation Mono" w:hAnsi="Liberation Mono"/>
                <w:b w:val="0"/>
                <w:i w:val="0"/>
                <w:color w:val="5F5F5F"/>
                <w:sz w:val="11"/>
              </w:rPr>
              <w:t>learn.chatgpt.com/docs/developer-commands</w:t>
            </w:r>
          </w:p>
        </w:tc>
      </w:tr>
      <w:tr>
        <w:tc>
          <w:tcPr>
            <w:tcW w:type="dxa" w:w="5520"/>
          </w:tcPr>
          <w:p>
            <w:pPr>
              <w:spacing w:line="172" w:lineRule="exact"/>
            </w:pPr>
            <w:r>
              <w:rPr>
                <w:b/>
                <w:i w:val="0"/>
                <w:color w:val="111111"/>
                <w:sz w:val="13"/>
              </w:rPr>
              <w:t>Chroma, Context Rot</w:t>
            </w:r>
            <w:r>
              <w:br/>
            </w:r>
            <w:r>
              <w:rPr>
                <w:rFonts w:ascii="Liberation Mono" w:hAnsi="Liberation Mono"/>
                <w:b w:val="0"/>
                <w:i w:val="0"/>
                <w:color w:val="5F5F5F"/>
                <w:sz w:val="11"/>
              </w:rPr>
              <w:t>trychroma.com/research/context-rot</w:t>
            </w:r>
          </w:p>
        </w:tc>
      </w:tr>
      <w:tr>
        <w:tc>
          <w:tcPr>
            <w:tcW w:type="dxa" w:w="5520"/>
          </w:tcPr>
          <w:p>
            <w:pPr>
              <w:spacing w:line="172" w:lineRule="exact"/>
            </w:pPr>
            <w:r>
              <w:rPr>
                <w:b/>
                <w:i w:val="0"/>
                <w:color w:val="111111"/>
                <w:sz w:val="13"/>
              </w:rPr>
              <w:t>HumanLayer, Getting AI to Work in Complex Codebases</w:t>
            </w:r>
            <w:r>
              <w:br/>
            </w:r>
            <w:r>
              <w:rPr>
                <w:rFonts w:ascii="Liberation Mono" w:hAnsi="Liberation Mono"/>
                <w:b w:val="0"/>
                <w:i w:val="0"/>
                <w:color w:val="5F5F5F"/>
                <w:sz w:val="11"/>
              </w:rPr>
              <w:t>github.com/humanlayer/advanced-context-engineering-for-coding-agents</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8" name="Picture 18"/>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9" name="Picture 19"/>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0" name="Picture 20"/>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1" name="Picture 21"/>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Context Windows</w:t>
      </w:r>
    </w:p>
    <w:p>
      <w:pPr>
        <w:spacing w:before="0" w:after="20" w:line="175" w:lineRule="exact"/>
      </w:pPr>
      <w:r>
        <w:rPr>
          <w:b w:val="0"/>
          <w:i w:val="0"/>
          <w:color w:val="5F5F5F"/>
          <w:sz w:val="12"/>
        </w:rPr>
        <w:t>A pocket-sized guide to what fills a coding agent’s context window,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1">
        <w:r>
          <w:rPr>
            <w:rFonts w:ascii="Liberation Mono" w:hAnsi="Liberation Mono"/>
            <w:b w:val="0"/>
            <w:i w:val="0"/>
            <w:color w:val="5F5F5F"/>
            <w:sz w:val="11"/>
          </w:rPr>
          <w:t>accidental.info/star</w:t>
        </w:r>
      </w:hyperlink>
    </w:p>
    <w:sectPr w:rsidR="00FC693F" w:rsidRPr="0006063C" w:rsidSect="00034616">
      <w:footerReference w:type="default" r:id="rId26"/>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0.3.0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Context Windows</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footer" Target="footer1.xml"/><Relationship Id="rId19" Type="http://schemas.openxmlformats.org/officeDocument/2006/relationships/footer" Target="footer2.xml"/><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footer" Target="footer3.xml"/><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Windows</dc:title>
  <dc:subject>A pocket-sized guide to what fills a coding agent’s context window,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