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6480"/>
        <w:tblInd w:w="-480" w:type="dxa"/>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3240"/>
        <w:gridCol w:w="2440"/>
        <w:gridCol w:w="800"/>
      </w:tblGrid>
      <w:tr>
        <w:trPr>
          <w:trHeight w:val="800" w:hRule="exact"/>
        </w:trPr>
        <w:tc>
          <w:tcPr>
            <w:tcW w:type="dxa" w:w="3240"/>
            <w:shd w:val="clear" w:color="auto" w:fill="111111"/>
            <w:tcMar>
              <w:top w:w="0" w:type="dxa"/>
              <w:left w:w="480" w:type="dxa"/>
              <w:bottom w:w="0" w:type="dxa"/>
              <w:right w:w="0" w:type="dxa"/>
            </w:tcMar>
          </w:tcPr>
          <w:p>
            <w:pPr>
              <w:spacing w:before="353" w:after="0" w:line="240" w:lineRule="exact"/>
            </w:pPr>
            <w:r>
              <w:rPr>
                <w:b/>
                <w:i w:val="0"/>
                <w:color w:val="FFFFFF"/>
                <w:sz w:val="18"/>
              </w:rPr>
              <w:t>An Accidental Guide to…</w:t>
            </w:r>
          </w:p>
        </w:tc>
        <w:tc>
          <w:tcPr>
            <w:tcW w:type="dxa" w:w="2440"/>
            <w:shd w:val="clear" w:color="auto" w:fill="111111"/>
            <w:tcMar>
              <w:top w:w="0" w:type="dxa"/>
              <w:left w:w="0" w:type="dxa"/>
              <w:bottom w:w="0" w:type="dxa"/>
              <w:right w:w="160" w:type="dxa"/>
            </w:tcMar>
          </w:tcPr>
          <w:p>
            <w:pPr>
              <w:spacing w:before="353" w:after="0" w:line="240" w:lineRule="exact"/>
              <w:jc w:val="right"/>
            </w:pPr>
            <w:r>
              <w:rPr>
                <w:b w:val="0"/>
                <w:i w:val="0"/>
                <w:color w:val="A8A8A8"/>
                <w:sz w:val="15"/>
              </w:rPr>
              <w:t>Games</w:t>
            </w:r>
            <w:r>
              <w:rPr>
                <w:b w:val="0"/>
                <w:i w:val="0"/>
                <w:color w:val="FFFFFF"/>
                <w:sz w:val="18"/>
              </w:rPr>
              <w:t xml:space="preserve"> </w:t>
            </w:r>
            <w:r>
              <w:rPr>
                <w:b/>
                <w:i w:val="0"/>
                <w:color w:val="FFFFFF"/>
                <w:sz w:val="18"/>
              </w:rPr>
              <w:t>04</w:t>
            </w:r>
          </w:p>
        </w:tc>
        <w:tc>
          <w:tcPr>
            <w:tcW w:type="dxa" w:w="800"/>
            <w:shd w:val="clear" w:color="auto" w:fill="111111"/>
            <w:tcMar>
              <w:top w:w="320" w:type="dxa"/>
              <w:left w:w="0" w:type="dxa"/>
              <w:bottom w:w="0" w:type="dxa"/>
              <w:right w:w="480" w:type="dxa"/>
            </w:tcMar>
          </w:tcPr>
          <w:p>
            <w:pPr>
              <w:spacing w:before="0" w:after="0" w:line="240" w:lineRule="auto"/>
            </w:pPr>
            <w:r>
              <w:drawing>
                <wp:inline xmlns:a="http://schemas.openxmlformats.org/drawingml/2006/main" xmlns:pic="http://schemas.openxmlformats.org/drawingml/2006/picture">
                  <wp:extent cx="203200" cy="203200"/>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03200" cy="203200"/>
                          </a:xfrm>
                          <a:prstGeom prst="rect"/>
                        </pic:spPr>
                      </pic:pic>
                    </a:graphicData>
                  </a:graphic>
                </wp:inline>
              </w:drawing>
            </w:r>
          </w:p>
        </w:tc>
      </w:tr>
      <w:tr>
        <w:trPr>
          <w:trHeight w:val="2200" w:hRule="atLeast"/>
        </w:trPr>
        <w:tc>
          <w:tcPr>
            <w:tcW w:type="dxa" w:w="6480"/>
            <w:gridSpan w:val="3"/>
            <w:shd w:val="clear" w:color="auto" w:fill="111111"/>
            <w:tcMar>
              <w:top w:w="0" w:type="dxa"/>
              <w:left w:w="480" w:type="dxa"/>
              <w:bottom w:w="204" w:type="dxa"/>
              <w:right w:w="480" w:type="dxa"/>
            </w:tcMar>
            <w:vAlign w:val="bottom"/>
          </w:tcPr>
          <w:p>
            <w:pPr>
              <w:pStyle w:val="Title"/>
              <w:spacing w:before="0" w:after="0" w:line="580" w:lineRule="exact"/>
            </w:pPr>
            <w:r>
              <w:rPr>
                <w:b/>
                <w:i w:val="0"/>
                <w:color w:val="FFFFFF"/>
                <w:sz w:val="54"/>
              </w:rPr>
              <w:t>Stopping</w:t>
            </w:r>
            <w:r>
              <w:br/>
            </w:r>
            <w:r>
              <w:rPr>
                <w:b/>
                <w:i w:val="0"/>
                <w:color w:val="FFFFFF"/>
                <w:sz w:val="54"/>
              </w:rPr>
              <w:t>Scholar’s Mate</w:t>
            </w:r>
          </w:p>
        </w:tc>
      </w:tr>
    </w:tbl>
    <w:p>
      <w:pPr>
        <w:spacing w:before="240" w:after="312" w:line="244" w:lineRule="exact"/>
        <w:ind w:right="1104"/>
      </w:pPr>
      <w:r>
        <w:rPr>
          <w:b w:val="0"/>
          <w:i w:val="0"/>
          <w:color w:val="111111"/>
          <w:sz w:val="18"/>
        </w:rPr>
        <w:t>A pocket-sized guide to spotting the four-move checkmate, and making it backfire.</w:t>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920"/>
        <w:gridCol w:w="920"/>
        <w:gridCol w:w="920"/>
        <w:gridCol w:w="920"/>
        <w:gridCol w:w="920"/>
        <w:gridCol w:w="920"/>
      </w:tblGrid>
      <w:tr>
        <w:trPr>
          <w:trHeight w:val="295" w:hRule="exact"/>
        </w:trPr>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58419" cy="58419"/>
                          </a:xfrm>
                          <a:prstGeom prst="rect"/>
                        </pic:spPr>
                      </pic:pic>
                    </a:graphicData>
                  </a:graphic>
                </wp:inline>
              </w:drawing>
            </w:r>
            <w:r>
              <w:rPr>
                <w:b w:val="0"/>
                <w:i w:val="0"/>
                <w:color w:val="5F5F5F"/>
                <w:sz w:val="11"/>
              </w:rPr>
              <w:t xml:space="preserve"> Runs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A6A6A6"/>
                <w:sz w:val="11"/>
              </w:rPr>
              <w:t xml:space="preserve"> Written</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58419" cy="58419"/>
                          </a:xfrm>
                          <a:prstGeom prst="rect"/>
                        </pic:spPr>
                      </pic:pic>
                    </a:graphicData>
                  </a:graphic>
                </wp:inline>
              </w:drawing>
            </w:r>
            <w:r>
              <w:rPr>
                <w:b w:val="0"/>
                <w:i w:val="0"/>
                <w:color w:val="5F5F5F"/>
                <w:sz w:val="11"/>
              </w:rPr>
              <w:t xml:space="preserve"> Checks</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8419" cy="58419"/>
                          </a:xfrm>
                          <a:prstGeom prst="rect"/>
                        </pic:spPr>
                      </pic:pic>
                    </a:graphicData>
                  </a:graphic>
                </wp:inline>
              </w:drawing>
            </w:r>
            <w:r>
              <w:rPr>
                <w:b w:val="0"/>
                <w:i w:val="0"/>
                <w:color w:val="5F5F5F"/>
                <w:sz w:val="11"/>
              </w:rPr>
              <w:t xml:space="preserve"> Used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8419" cy="58419"/>
                          </a:xfrm>
                          <a:prstGeom prst="rect"/>
                        </pic:spPr>
                      </pic:pic>
                    </a:graphicData>
                  </a:graphic>
                </wp:inline>
              </w:drawing>
            </w:r>
            <w:r>
              <w:rPr>
                <w:b w:val="0"/>
                <w:i w:val="0"/>
                <w:color w:val="5F5F5F"/>
                <w:sz w:val="11"/>
              </w:rPr>
              <w:t xml:space="preserve"> Decided</w:t>
            </w:r>
          </w:p>
        </w:tc>
        <w:tc>
          <w:tcPr>
            <w:tcW w:type="dxa" w:w="920"/>
            <w:tcBorders>
              <w:top w:val="single" w:sz="5" w:space="0" w:color="111111"/>
            </w:tcBorders>
            <w:tcMar>
              <w:top w:w="0" w:type="dxa"/>
              <w:left w:w="15" w:type="dxa"/>
              <w:bottom w:w="0" w:type="dxa"/>
              <w:right w:w="0" w:type="dxa"/>
            </w:tcMar>
          </w:tcPr>
          <w:p>
            <w:pPr>
              <w:spacing w:before="68" w:after="0" w:line="140" w:lineRule="exact"/>
            </w:pPr>
            <w:r>
              <w:drawing>
                <wp:inline xmlns:a="http://schemas.openxmlformats.org/drawingml/2006/main" xmlns:pic="http://schemas.openxmlformats.org/drawingml/2006/picture">
                  <wp:extent cx="58419" cy="58419"/>
                  <wp:docPr id="7" name="Picture 7"/>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58419" cy="58419"/>
                          </a:xfrm>
                          <a:prstGeom prst="rect"/>
                        </pic:spPr>
                      </pic:pic>
                    </a:graphicData>
                  </a:graphic>
                </wp:inline>
              </w:drawing>
            </w:r>
            <w:r>
              <w:rPr>
                <w:b w:val="0"/>
                <w:i w:val="0"/>
                <w:color w:val="A6A6A6"/>
                <w:sz w:val="11"/>
              </w:rPr>
              <w:t xml:space="preserve"> Counted</w:t>
            </w:r>
          </w:p>
        </w:tc>
      </w:tr>
      <w:tr>
        <w:trPr>
          <w:trHeight w:val="920" w:hRule="exact"/>
        </w:trPr>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8" name="Picture 8"/>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565150" cy="565150"/>
                          </a:xfrm>
                          <a:prstGeom prst="rect"/>
                        </pic:spPr>
                      </pic:pic>
                    </a:graphicData>
                  </a:graphic>
                </wp:inline>
              </w:drawing>
            </w:r>
          </w:p>
        </w:tc>
        <w:tc>
          <w:tcPr>
            <w:tcW w:type="dxa" w:w="1840"/>
            <w:gridSpan w:val="2"/>
            <w:tcMar>
              <w:top w:w="0" w:type="dxa"/>
              <w:left w:w="100" w:type="dxa"/>
              <w:bottom w:w="0" w:type="dxa"/>
              <w:right w:w="0" w:type="dxa"/>
            </w:tcMar>
            <w:vAlign w:val="center"/>
          </w:tcPr>
          <w:p>
            <w:pPr>
              <w:spacing w:before="0" w:after="0" w:line="170" w:lineRule="exact"/>
              <w:jc w:val="left"/>
            </w:pPr>
            <w:r>
              <w:rPr>
                <w:b/>
                <w:i w:val="0"/>
                <w:color w:val="111111"/>
                <w:sz w:val="14"/>
              </w:rPr>
              <w:t>The f7 square</w:t>
            </w:r>
          </w:p>
          <w:p>
            <w:pPr>
              <w:spacing w:before="0" w:after="0" w:line="170" w:lineRule="exact"/>
              <w:jc w:val="left"/>
            </w:pPr>
            <w:r>
              <w:rPr>
                <w:b w:val="0"/>
                <w:i w:val="0"/>
                <w:color w:val="5F5F5F"/>
                <w:sz w:val="12"/>
              </w:rPr>
              <w:t xml:space="preserve">page </w:t>
            </w:r>
            <w:r>
              <w:fldChar w:fldCharType="begin"/>
            </w:r>
            <w:r>
              <w:instrText xml:space="preserve"> PAGEREF entry_01 \h </w:instrText>
            </w:r>
            <w:r>
              <w:fldChar w:fldCharType="separate"/>
            </w:r>
            <w:r>
              <w:rPr>
                <w:b w:val="0"/>
                <w:i w:val="0"/>
                <w:color w:val="5F5F5F"/>
                <w:sz w:val="12"/>
              </w:rPr>
              <w:t>4</w:t>
            </w:r>
            <w:r>
              <w:fldChar w:fldCharType="end"/>
            </w:r>
          </w:p>
        </w:tc>
      </w:tr>
      <w:tr>
        <w:trPr>
          <w:trHeight w:val="920" w:hRule="exact"/>
        </w:trPr>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9" name="Picture 9"/>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565150" cy="565150"/>
                          </a:xfrm>
                          <a:prstGeom prst="rect"/>
                        </pic:spPr>
                      </pic:pic>
                    </a:graphicData>
                  </a:graphic>
                </wp:inline>
              </w:drawing>
            </w:r>
          </w:p>
        </w:tc>
        <w:tc>
          <w:tcPr>
            <w:tcW w:type="dxa" w:w="4600"/>
            <w:gridSpan w:val="5"/>
            <w:tcMar>
              <w:top w:w="0" w:type="dxa"/>
              <w:left w:w="100" w:type="dxa"/>
              <w:bottom w:w="0" w:type="dxa"/>
              <w:right w:w="0" w:type="dxa"/>
            </w:tcMar>
            <w:vAlign w:val="center"/>
          </w:tcPr>
          <w:p>
            <w:pPr>
              <w:spacing w:before="0" w:after="0" w:line="170" w:lineRule="exact"/>
              <w:jc w:val="left"/>
            </w:pPr>
            <w:r>
              <w:rPr>
                <w:b/>
                <w:i w:val="0"/>
                <w:color w:val="111111"/>
                <w:sz w:val="14"/>
              </w:rPr>
              <w:t>The early queen</w:t>
            </w:r>
          </w:p>
          <w:p>
            <w:pPr>
              <w:spacing w:before="0" w:after="0" w:line="170" w:lineRule="exact"/>
              <w:jc w:val="left"/>
            </w:pPr>
            <w:r>
              <w:rPr>
                <w:b w:val="0"/>
                <w:i w:val="0"/>
                <w:color w:val="5F5F5F"/>
                <w:sz w:val="12"/>
              </w:rPr>
              <w:t xml:space="preserve">page </w:t>
            </w:r>
            <w:r>
              <w:fldChar w:fldCharType="begin"/>
            </w:r>
            <w:r>
              <w:instrText xml:space="preserve"> PAGEREF entry_02 \h </w:instrText>
            </w:r>
            <w:r>
              <w:fldChar w:fldCharType="separate"/>
            </w:r>
            <w:r>
              <w:rPr>
                <w:b w:val="0"/>
                <w:i w:val="0"/>
                <w:color w:val="5F5F5F"/>
                <w:sz w:val="12"/>
              </w:rPr>
              <w:t>5</w:t>
            </w:r>
            <w:r>
              <w:fldChar w:fldCharType="end"/>
            </w:r>
          </w:p>
        </w:tc>
      </w:tr>
      <w:tr>
        <w:trPr>
          <w:trHeight w:val="920" w:hRule="exact"/>
        </w:trPr>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0" name="Picture 10"/>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565150" cy="565150"/>
                          </a:xfrm>
                          <a:prstGeom prst="rect"/>
                        </pic:spPr>
                      </pic:pic>
                    </a:graphicData>
                  </a:graphic>
                </wp:inline>
              </w:drawing>
            </w:r>
          </w:p>
        </w:tc>
        <w:tc>
          <w:tcPr>
            <w:tcW w:type="dxa" w:w="2760"/>
            <w:gridSpan w:val="3"/>
            <w:tcMar>
              <w:top w:w="0" w:type="dxa"/>
              <w:left w:w="100" w:type="dxa"/>
              <w:bottom w:w="0" w:type="dxa"/>
              <w:right w:w="0" w:type="dxa"/>
            </w:tcMar>
            <w:vAlign w:val="center"/>
          </w:tcPr>
          <w:p>
            <w:pPr>
              <w:spacing w:before="0" w:after="0" w:line="170" w:lineRule="exact"/>
              <w:jc w:val="left"/>
            </w:pPr>
            <w:r>
              <w:rPr>
                <w:b/>
                <w:i w:val="0"/>
                <w:color w:val="111111"/>
                <w:sz w:val="14"/>
              </w:rPr>
              <w:t>Guarding f7</w:t>
            </w:r>
          </w:p>
          <w:p>
            <w:pPr>
              <w:spacing w:before="0" w:after="0" w:line="170" w:lineRule="exact"/>
              <w:jc w:val="left"/>
            </w:pPr>
            <w:r>
              <w:rPr>
                <w:b w:val="0"/>
                <w:i w:val="0"/>
                <w:color w:val="5F5F5F"/>
                <w:sz w:val="12"/>
              </w:rPr>
              <w:t xml:space="preserve">page </w:t>
            </w:r>
            <w:r>
              <w:fldChar w:fldCharType="begin"/>
            </w:r>
            <w:r>
              <w:instrText xml:space="preserve"> PAGEREF entry_03 \h </w:instrText>
            </w:r>
            <w:r>
              <w:fldChar w:fldCharType="separate"/>
            </w:r>
            <w:r>
              <w:rPr>
                <w:b w:val="0"/>
                <w:i w:val="0"/>
                <w:color w:val="5F5F5F"/>
                <w:sz w:val="12"/>
              </w:rPr>
              <w:t>6</w:t>
            </w:r>
            <w:r>
              <w:fldChar w:fldCharType="end"/>
            </w:r>
          </w:p>
        </w:tc>
      </w:tr>
      <w:tr>
        <w:trPr>
          <w:trHeight w:val="920" w:hRule="exact"/>
        </w:trPr>
        <w:tc>
          <w:tcPr>
            <w:tcW w:type="dxa" w:w="920"/>
          </w:tcPr>
          <w:p/>
        </w:tc>
        <w:tc>
          <w:tcPr>
            <w:tcW w:type="dxa" w:w="920"/>
          </w:tcPr>
          <w:p/>
        </w:tc>
        <w:tc>
          <w:tcPr>
            <w:tcW w:type="dxa" w:w="920"/>
          </w:tcPr>
          <w:p/>
        </w:tc>
        <w:tc>
          <w:tcPr>
            <w:tcW w:type="dxa" w:w="920"/>
          </w:tcPr>
          <w:p/>
        </w:tc>
        <w:tc>
          <w:tcPr>
            <w:tcW w:type="dxa" w:w="920"/>
            <w:tcMar>
              <w:top w:w="15" w:type="dxa"/>
              <w:left w:w="15" w:type="dxa"/>
              <w:bottom w:w="0" w:type="dxa"/>
              <w:right w:w="0" w:type="dxa"/>
            </w:tcMar>
          </w:tcPr>
          <w:p>
            <w:pPr>
              <w:spacing w:before="0" w:after="0" w:line="240" w:lineRule="auto"/>
            </w:pPr>
            <w:r>
              <w:drawing>
                <wp:inline xmlns:a="http://schemas.openxmlformats.org/drawingml/2006/main" xmlns:pic="http://schemas.openxmlformats.org/drawingml/2006/picture">
                  <wp:extent cx="565150" cy="565150"/>
                  <wp:docPr id="11" name="Picture 11"/>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65150" cy="565150"/>
                          </a:xfrm>
                          <a:prstGeom prst="rect"/>
                        </pic:spPr>
                      </pic:pic>
                    </a:graphicData>
                  </a:graphic>
                </wp:inline>
              </w:drawing>
            </w:r>
          </w:p>
        </w:tc>
        <w:tc>
          <w:tcPr>
            <w:tcW w:type="dxa" w:w="920"/>
            <w:tcMar>
              <w:top w:w="0" w:type="dxa"/>
              <w:left w:w="100" w:type="dxa"/>
              <w:bottom w:w="0" w:type="dxa"/>
              <w:right w:w="0" w:type="dxa"/>
            </w:tcMar>
            <w:vAlign w:val="center"/>
          </w:tcPr>
          <w:p>
            <w:pPr>
              <w:spacing w:before="0" w:after="0" w:line="170" w:lineRule="exact"/>
              <w:jc w:val="left"/>
            </w:pPr>
            <w:r>
              <w:rPr>
                <w:b/>
                <w:i w:val="0"/>
                <w:color w:val="111111"/>
                <w:sz w:val="14"/>
              </w:rPr>
              <w:t>Tempo</w:t>
            </w:r>
          </w:p>
          <w:p>
            <w:pPr>
              <w:spacing w:before="0" w:after="0" w:line="170" w:lineRule="exact"/>
              <w:jc w:val="left"/>
            </w:pPr>
            <w:r>
              <w:rPr>
                <w:b w:val="0"/>
                <w:i w:val="0"/>
                <w:color w:val="5F5F5F"/>
                <w:sz w:val="12"/>
              </w:rPr>
              <w:t xml:space="preserve">page </w:t>
            </w:r>
            <w:r>
              <w:fldChar w:fldCharType="begin"/>
            </w:r>
            <w:r>
              <w:instrText xml:space="preserve"> PAGEREF entry_04 \h </w:instrText>
            </w:r>
            <w:r>
              <w:fldChar w:fldCharType="separate"/>
            </w:r>
            <w:r>
              <w:rPr>
                <w:b w:val="0"/>
                <w:i w:val="0"/>
                <w:color w:val="5F5F5F"/>
                <w:sz w:val="12"/>
              </w:rPr>
              <w:t>7</w:t>
            </w:r>
            <w:r>
              <w:fldChar w:fldCharType="end"/>
            </w:r>
          </w:p>
        </w:tc>
      </w:tr>
    </w:tbl>
    <w:p>
      <w:pPr>
        <w:spacing w:before="0" w:after="0" w:line="20" w:lineRule="exact"/>
        <w:rPr>
          <w:sz w:val="2"/>
        </w:rPr>
        <w:sectPr>
          <w:footerReference w:type="default" r:id="rId19"/>
          <w:pgSz w:w="6480" w:h="10800"/>
          <w:pgMar w:top="0" w:right="480" w:bottom="720" w:left="480" w:header="0" w:footer="280" w:gutter="0"/>
          <w:cols w:space="720"/>
          <w:docGrid w:linePitch="360"/>
        </w:sectPr>
      </w:pPr>
    </w:p>
    <w:p>
      <w:pPr>
        <w:pStyle w:val="Heading1"/>
        <w:keepNext/>
        <w:spacing w:before="0" w:after="160" w:line="381" w:lineRule="exact"/>
      </w:pPr>
      <w:r>
        <w:rPr>
          <w:b/>
          <w:i w:val="0"/>
          <w:color w:val="111111"/>
          <w:sz w:val="34"/>
        </w:rPr>
        <w:t>What is</w:t>
      </w:r>
      <w:r>
        <w:br/>
      </w:r>
      <w:r>
        <w:rPr>
          <w:b/>
          <w:i w:val="0"/>
          <w:color w:val="111111"/>
          <w:sz w:val="34"/>
        </w:rPr>
        <w:t>Scholar’s Mate?</w:t>
      </w:r>
    </w:p>
    <w:p>
      <w:pPr>
        <w:spacing w:before="0" w:after="120" w:line="208" w:lineRule="exact"/>
      </w:pPr>
      <w:r>
        <w:rPr>
          <w:b w:val="0"/>
          <w:i w:val="0"/>
          <w:color w:val="111111"/>
          <w:sz w:val="15"/>
        </w:rPr>
        <w:t>Scholar’s Mate is a quick checkmate where White’s queen and bishop both aim at f7, then the queen captures there. The attack is easy to stop once you see both pieces lining up. After you stop it, White has usually wasted moves bringing the queen out early.</w:t>
      </w:r>
    </w:p>
    <w:p>
      <w:pPr>
        <w:spacing w:before="0" w:after="120" w:line="208" w:lineRule="exact"/>
      </w:pPr>
      <w:r>
        <w:rPr>
          <w:b w:val="0"/>
          <w:i w:val="0"/>
          <w:color w:val="111111"/>
          <w:sz w:val="15"/>
        </w:rPr>
        <w:t>Moves are written in algebraic notation, explained in An Accidental Guide to: The First Move in Chess. You play Black, and every board is shown from your side, with the a-file on your right.</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400"/>
        <w:gridCol w:w="4120"/>
      </w:tblGrid>
      <w:tr>
        <w:tc>
          <w:tcPr>
            <w:tcW w:type="dxa" w:w="1400"/>
            <w:shd w:val="clear" w:color="auto" w:fill="EBEBEB"/>
          </w:tcPr>
          <w:p>
            <w:pPr>
              <w:spacing w:line="172" w:lineRule="exact"/>
            </w:pPr>
            <w:r>
              <w:rPr>
                <w:b/>
                <w:i w:val="0"/>
                <w:color w:val="111111"/>
                <w:sz w:val="13"/>
              </w:rPr>
              <w:t>The f7 square</w:t>
            </w:r>
          </w:p>
        </w:tc>
        <w:tc>
          <w:tcPr>
            <w:tcW w:type="dxa" w:w="4120"/>
            <w:shd w:val="clear" w:color="auto" w:fill="EBEBEB"/>
          </w:tcPr>
          <w:p>
            <w:pPr>
              <w:spacing w:line="172" w:lineRule="exact"/>
            </w:pPr>
            <w:r>
              <w:rPr>
                <w:b w:val="0"/>
                <w:i w:val="0"/>
                <w:color w:val="111111"/>
                <w:sz w:val="14"/>
              </w:rPr>
              <w:t>The pawn square beside Black’s king that only the king defends at the start.</w:t>
            </w:r>
          </w:p>
        </w:tc>
      </w:tr>
      <w:tr>
        <w:tc>
          <w:tcPr>
            <w:tcW w:type="dxa" w:w="1400"/>
            <w:shd w:val="clear" w:color="auto" w:fill="EBEBEB"/>
          </w:tcPr>
          <w:p>
            <w:pPr>
              <w:spacing w:line="172" w:lineRule="exact"/>
            </w:pPr>
            <w:r>
              <w:rPr>
                <w:b/>
                <w:i w:val="0"/>
                <w:color w:val="111111"/>
                <w:sz w:val="13"/>
              </w:rPr>
              <w:t>The early queen</w:t>
            </w:r>
          </w:p>
        </w:tc>
        <w:tc>
          <w:tcPr>
            <w:tcW w:type="dxa" w:w="4120"/>
            <w:shd w:val="clear" w:color="auto" w:fill="EBEBEB"/>
          </w:tcPr>
          <w:p>
            <w:pPr>
              <w:spacing w:line="172" w:lineRule="exact"/>
            </w:pPr>
            <w:r>
              <w:rPr>
                <w:b w:val="0"/>
                <w:i w:val="0"/>
                <w:color w:val="111111"/>
                <w:sz w:val="14"/>
              </w:rPr>
              <w:t>White’s queen brought out in the first few moves, often to h5.</w:t>
            </w:r>
          </w:p>
        </w:tc>
      </w:tr>
      <w:tr>
        <w:tc>
          <w:tcPr>
            <w:tcW w:type="dxa" w:w="1400"/>
            <w:shd w:val="clear" w:color="auto" w:fill="EBEBEB"/>
          </w:tcPr>
          <w:p>
            <w:pPr>
              <w:spacing w:line="172" w:lineRule="exact"/>
            </w:pPr>
            <w:r>
              <w:rPr>
                <w:b/>
                <w:i w:val="0"/>
                <w:color w:val="111111"/>
                <w:sz w:val="13"/>
              </w:rPr>
              <w:t>Guarding f7</w:t>
            </w:r>
          </w:p>
        </w:tc>
        <w:tc>
          <w:tcPr>
            <w:tcW w:type="dxa" w:w="4120"/>
            <w:shd w:val="clear" w:color="auto" w:fill="EBEBEB"/>
          </w:tcPr>
          <w:p>
            <w:pPr>
              <w:spacing w:line="172" w:lineRule="exact"/>
            </w:pPr>
            <w:r>
              <w:rPr>
                <w:b w:val="0"/>
                <w:i w:val="0"/>
                <w:color w:val="111111"/>
                <w:sz w:val="14"/>
              </w:rPr>
              <w:t>A move that defends f7 or blocks an attacker’s line to it.</w:t>
            </w:r>
          </w:p>
        </w:tc>
      </w:tr>
      <w:tr>
        <w:tc>
          <w:tcPr>
            <w:tcW w:type="dxa" w:w="1400"/>
            <w:shd w:val="clear" w:color="auto" w:fill="EBEBEB"/>
          </w:tcPr>
          <w:p>
            <w:pPr>
              <w:spacing w:line="172" w:lineRule="exact"/>
            </w:pPr>
            <w:r>
              <w:rPr>
                <w:b/>
                <w:i w:val="0"/>
                <w:color w:val="111111"/>
                <w:sz w:val="13"/>
              </w:rPr>
              <w:t>Tempo</w:t>
            </w:r>
          </w:p>
        </w:tc>
        <w:tc>
          <w:tcPr>
            <w:tcW w:type="dxa" w:w="4120"/>
            <w:shd w:val="clear" w:color="auto" w:fill="EBEBEB"/>
          </w:tcPr>
          <w:p>
            <w:pPr>
              <w:spacing w:line="172" w:lineRule="exact"/>
            </w:pPr>
            <w:r>
              <w:rPr>
                <w:b w:val="0"/>
                <w:i w:val="0"/>
                <w:color w:val="111111"/>
                <w:sz w:val="14"/>
              </w:rPr>
              <w:t>One move’s worth of time.</w:t>
            </w:r>
          </w:p>
        </w:tc>
      </w:tr>
    </w:tbl>
    <w:p>
      <w:pPr>
        <w:spacing w:before="0" w:after="40" w:line="55" w:lineRule="exact"/>
      </w:pPr>
    </w:p>
    <w:p>
      <w:r>
        <w:br w:type="page"/>
      </w:r>
    </w:p>
    <w:p>
      <w:pPr>
        <w:pStyle w:val="Heading1"/>
        <w:keepNext/>
        <w:spacing w:before="0" w:after="160" w:line="381" w:lineRule="exact"/>
      </w:pPr>
      <w:r>
        <w:rPr>
          <w:b/>
          <w:i w:val="0"/>
          <w:color w:val="111111"/>
          <w:sz w:val="34"/>
        </w:rPr>
        <w:t>What does the</w:t>
      </w:r>
      <w:r>
        <w:br/>
      </w:r>
      <w:r>
        <w:rPr>
          <w:b/>
          <w:i w:val="0"/>
          <w:color w:val="111111"/>
          <w:sz w:val="34"/>
        </w:rPr>
        <w:t>attack look like?</w:t>
      </w:r>
    </w:p>
    <w:p>
      <w:pPr>
        <w:spacing w:after="160"/>
      </w:pPr>
      <w:r>
        <w:drawing>
          <wp:inline xmlns:a="http://schemas.openxmlformats.org/drawingml/2006/main" xmlns:pic="http://schemas.openxmlformats.org/drawingml/2006/picture">
            <wp:extent cx="3556000" cy="2827112"/>
            <wp:docPr id="12" name="Picture 12"/>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3556000" cy="2827112"/>
                    </a:xfrm>
                    <a:prstGeom prst="rect"/>
                  </pic:spPr>
                </pic:pic>
              </a:graphicData>
            </a:graphic>
          </wp:inline>
        </w:drawing>
      </w:r>
    </w:p>
    <w:p>
      <w:pPr>
        <w:spacing w:before="0" w:after="120" w:line="208" w:lineRule="exact"/>
      </w:pPr>
      <w:r>
        <w:rPr>
          <w:b w:val="0"/>
          <w:i w:val="0"/>
          <w:color w:val="111111"/>
          <w:sz w:val="15"/>
        </w:rPr>
        <w:t>Black is to move. White threatens Qxf7#, the queen taking on f7 with checkmate. Your king is the only piece defending f7, and it can’t take the queen there because the bishop on c4 guards her. Your next move must guard f7 or block one of those lines.</w:t>
      </w: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1" w:name="entry_01"/>
            <w:pPr>
              <w:pStyle w:val="Heading1"/>
              <w:spacing w:line="448" w:lineRule="exact"/>
            </w:pPr>
            <w:r>
              <w:rPr>
                <w:b/>
                <w:i w:val="0"/>
                <w:color w:val="111111"/>
                <w:sz w:val="40"/>
              </w:rPr>
              <w:t>The f7 square</w:t>
            </w:r>
            <w:bookmarkEnd w:id="1"/>
          </w:p>
        </w:tc>
        <w:tc>
          <w:tcPr>
            <w:tcW w:type="dxa" w:w="680"/>
          </w:tcPr>
          <w:p>
            <w:pPr>
              <w:spacing w:line="240" w:lineRule="auto"/>
              <w:jc w:val="right"/>
            </w:pPr>
            <w:r>
              <w:drawing>
                <wp:inline xmlns:a="http://schemas.openxmlformats.org/drawingml/2006/main" xmlns:pic="http://schemas.openxmlformats.org/drawingml/2006/picture">
                  <wp:extent cx="431800" cy="431800"/>
                  <wp:docPr id="13" name="Picture 13"/>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White’s queen and bishop both aimed at f7.</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The f7 square is the pawn square beside your king that only your king defends at the start.</w:t>
            </w:r>
            <w:r>
              <w:rPr>
                <w:b w:val="0"/>
                <w:i w:val="0"/>
                <w:color w:val="111111"/>
                <w:sz w:val="15"/>
              </w:rPr>
              <w:t xml:space="preserve"> The queen can take there with checkmate when the bishop guards her.</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Watch f7 as soon as White’s queen or bishop points toward it.</w:t>
            </w:r>
            <w:r>
              <w:rPr>
                <w:b w:val="0"/>
                <w:i w:val="0"/>
                <w:color w:val="111111"/>
                <w:sz w:val="15"/>
              </w:rPr>
              <w:t xml:space="preserve"> If both pieces attack it, your next move must stop the mate.</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Watch for</w:t>
            </w:r>
            <w:r>
              <w:br/>
            </w:r>
            <w:r>
              <w:rPr>
                <w:b/>
                <w:i w:val="0"/>
                <w:color w:val="111111"/>
                <w:sz w:val="14"/>
              </w:rPr>
              <w:t>Queen and bishop aimed at f7.</w:t>
            </w:r>
          </w:p>
        </w:tc>
        <w:tc>
          <w:tcPr>
            <w:tcW w:type="dxa" w:w="1840"/>
            <w:shd w:val="clear" w:color="auto" w:fill="EBEBEB"/>
          </w:tcPr>
          <w:p>
            <w:pPr>
              <w:spacing w:line="172" w:lineRule="exact"/>
            </w:pPr>
            <w:r>
              <w:rPr>
                <w:b/>
                <w:i w:val="0"/>
                <w:color w:val="5F5F5F"/>
                <w:sz w:val="13"/>
              </w:rPr>
              <w:t>Your answer</w:t>
            </w:r>
            <w:r>
              <w:br/>
            </w:r>
            <w:r>
              <w:rPr>
                <w:b/>
                <w:i w:val="0"/>
                <w:color w:val="111111"/>
                <w:sz w:val="14"/>
              </w:rPr>
              <w:t>Guard f7 now.</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f2</w:t>
            </w:r>
            <w:r>
              <w:br/>
            </w:r>
            <w:r>
              <w:rPr>
                <w:b w:val="0"/>
                <w:i w:val="0"/>
                <w:color w:val="111111"/>
                <w:sz w:val="14"/>
              </w:rPr>
              <w:t>The f2 square is White’s matching weak square. Only White’s king defends f2 at the start.</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2" w:name="entry_02"/>
            <w:pPr>
              <w:pStyle w:val="Heading1"/>
              <w:spacing w:line="448" w:lineRule="exact"/>
            </w:pPr>
            <w:r>
              <w:rPr>
                <w:b/>
                <w:i w:val="0"/>
                <w:color w:val="111111"/>
                <w:sz w:val="40"/>
              </w:rPr>
              <w:t>The early queen</w:t>
            </w:r>
            <w:bookmarkEnd w:id="2"/>
          </w:p>
        </w:tc>
        <w:tc>
          <w:tcPr>
            <w:tcW w:type="dxa" w:w="680"/>
          </w:tcPr>
          <w:p>
            <w:pPr>
              <w:spacing w:line="240" w:lineRule="auto"/>
              <w:jc w:val="right"/>
            </w:pPr>
            <w:r>
              <w:drawing>
                <wp:inline xmlns:a="http://schemas.openxmlformats.org/drawingml/2006/main" xmlns:pic="http://schemas.openxmlformats.org/drawingml/2006/picture">
                  <wp:extent cx="431800" cy="431800"/>
                  <wp:docPr id="14" name="Picture 14"/>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White’s queen out in the first few moves, often on h5.</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The early queen is White’s queen brought out before most other pieces, as in 2.Qh5, the Wayward Queen Attack.</w:t>
            </w:r>
            <w:r>
              <w:rPr>
                <w:b w:val="0"/>
                <w:i w:val="0"/>
                <w:color w:val="111111"/>
                <w:sz w:val="15"/>
              </w:rPr>
              <w:t xml:space="preserve"> From h5, the queen attacks e5 and f7.</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The first threat after 2.Qh5 is Qxe5+, not checkmate on f7.</w:t>
            </w:r>
            <w:r>
              <w:rPr>
                <w:b w:val="0"/>
                <w:i w:val="0"/>
                <w:color w:val="111111"/>
                <w:sz w:val="15"/>
              </w:rPr>
              <w:t xml:space="preserve"> Play 2…Nc6 to defend e5 while bringing out your knight.</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Watch for</w:t>
            </w:r>
            <w:r>
              <w:br/>
            </w:r>
            <w:r>
              <w:rPr>
                <w:b/>
                <w:i w:val="0"/>
                <w:color w:val="111111"/>
                <w:sz w:val="14"/>
              </w:rPr>
              <w:t>Queen on h5.</w:t>
            </w:r>
          </w:p>
        </w:tc>
        <w:tc>
          <w:tcPr>
            <w:tcW w:type="dxa" w:w="1840"/>
            <w:shd w:val="clear" w:color="auto" w:fill="EBEBEB"/>
          </w:tcPr>
          <w:p>
            <w:pPr>
              <w:spacing w:line="172" w:lineRule="exact"/>
            </w:pPr>
            <w:r>
              <w:rPr>
                <w:b/>
                <w:i w:val="0"/>
                <w:color w:val="5F5F5F"/>
                <w:sz w:val="13"/>
              </w:rPr>
              <w:t>Your answer</w:t>
            </w:r>
            <w:r>
              <w:br/>
            </w:r>
            <w:r>
              <w:rPr>
                <w:b/>
                <w:i w:val="0"/>
                <w:color w:val="111111"/>
                <w:sz w:val="14"/>
              </w:rPr>
              <w:t>2…Nc6.</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A strong attack</w:t>
            </w:r>
            <w:r>
              <w:br/>
            </w:r>
            <w:r>
              <w:rPr>
                <w:b w:val="0"/>
                <w:i w:val="0"/>
                <w:color w:val="111111"/>
                <w:sz w:val="14"/>
              </w:rPr>
              <w:t>An early queen can look dangerous, but White gains nothing if you meet each threat. Your knights and pawns can chase the queen while you bring pieces out.</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3" w:name="entry_03"/>
            <w:pPr>
              <w:pStyle w:val="Heading1"/>
              <w:spacing w:line="448" w:lineRule="exact"/>
            </w:pPr>
            <w:r>
              <w:rPr>
                <w:b/>
                <w:i w:val="0"/>
                <w:color w:val="111111"/>
                <w:sz w:val="40"/>
              </w:rPr>
              <w:t>Guarding f7</w:t>
            </w:r>
            <w:bookmarkEnd w:id="3"/>
          </w:p>
        </w:tc>
        <w:tc>
          <w:tcPr>
            <w:tcW w:type="dxa" w:w="680"/>
          </w:tcPr>
          <w:p>
            <w:pPr>
              <w:spacing w:line="240" w:lineRule="auto"/>
              <w:jc w:val="right"/>
            </w:pPr>
            <w:r>
              <w:drawing>
                <wp:inline xmlns:a="http://schemas.openxmlformats.org/drawingml/2006/main" xmlns:pic="http://schemas.openxmlformats.org/drawingml/2006/picture">
                  <wp:extent cx="431800" cy="431800"/>
                  <wp:docPr id="15" name="Picture 15"/>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move that defends f7 or blocks an attacker’s line to it.</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Guarding f7 means stopping the queen from taking there with checkmate.</w:t>
            </w:r>
            <w:r>
              <w:rPr>
                <w:b w:val="0"/>
                <w:i w:val="0"/>
                <w:color w:val="111111"/>
                <w:sz w:val="15"/>
              </w:rPr>
              <w:t xml:space="preserve"> After 3.Bc4, 3…g6 blocks the queen’s line and makes her move.</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White can aim at f7 again with 4.Qf3.</w:t>
            </w:r>
            <w:r>
              <w:rPr>
                <w:b w:val="0"/>
                <w:i w:val="0"/>
                <w:color w:val="111111"/>
                <w:sz w:val="15"/>
              </w:rPr>
              <w:t xml:space="preserve"> Play 4…Nf6 to block that line, then …Bg7 and castling. Keep the knight on f6 while the queen aims at f7.</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Watch for</w:t>
            </w:r>
            <w:r>
              <w:br/>
            </w:r>
            <w:r>
              <w:rPr>
                <w:b/>
                <w:i w:val="0"/>
                <w:color w:val="111111"/>
                <w:sz w:val="14"/>
              </w:rPr>
              <w:t>Queen and bishop both aimed at f7.</w:t>
            </w:r>
          </w:p>
        </w:tc>
        <w:tc>
          <w:tcPr>
            <w:tcW w:type="dxa" w:w="1840"/>
            <w:shd w:val="clear" w:color="auto" w:fill="EBEBEB"/>
          </w:tcPr>
          <w:p>
            <w:pPr>
              <w:spacing w:line="172" w:lineRule="exact"/>
            </w:pPr>
            <w:r>
              <w:rPr>
                <w:b/>
                <w:i w:val="0"/>
                <w:color w:val="5F5F5F"/>
                <w:sz w:val="13"/>
              </w:rPr>
              <w:t>Your answer</w:t>
            </w:r>
            <w:r>
              <w:br/>
            </w:r>
            <w:r>
              <w:rPr>
                <w:b/>
                <w:i w:val="0"/>
                <w:color w:val="111111"/>
                <w:sz w:val="14"/>
              </w:rPr>
              <w:t>3…g6 or 3…Qe7.</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3…Nf6</w:t>
            </w:r>
            <w:r>
              <w:br/>
            </w:r>
            <w:r>
              <w:rPr>
                <w:b w:val="0"/>
                <w:i w:val="0"/>
                <w:color w:val="111111"/>
                <w:sz w:val="14"/>
              </w:rPr>
              <w:t>The move 3…Nf6 brings out a knight and attacks the queen. The move loses here because it blocks neither line, so 4.Qxf7# follows.</w:t>
            </w:r>
          </w:p>
        </w:tc>
      </w:tr>
    </w:tbl>
    <w:p>
      <w:pPr>
        <w:spacing w:before="0" w:after="40" w:line="55" w:lineRule="exact"/>
      </w:pPr>
    </w:p>
    <w:p>
      <w:r>
        <w:br w:type="page"/>
      </w:r>
    </w:p>
    <w:tbl>
      <w:tblPr>
        <w:tblW w:type="dxa" w:w="5520"/>
        <w:tblLayout w:type="fixed"/>
        <w:tblLook w:firstColumn="1" w:firstRow="1" w:lastColumn="0" w:lastRow="0" w:noHBand="0" w:noVBand="1" w:val="04A0"/>
        <w:tblBorders>
          <w:top w:val="nil"/>
          <w:left w:val="nil"/>
          <w:bottom w:val="nil"/>
          <w:right w:val="nil"/>
          <w:insideH w:val="nil"/>
          <w:insideV w:val="nil"/>
        </w:tblBorders>
        <w:tblCellMar>
          <w:top w:w="0" w:type="dxa"/>
          <w:left w:w="0" w:type="dxa"/>
          <w:bottom w:w="0" w:type="dxa"/>
          <w:right w:w="0" w:type="dxa"/>
        </w:tblCellMar>
        <w:tblLayout w:type="fixed"/>
      </w:tblPr>
      <w:tblGrid>
        <w:gridCol w:w="4840"/>
        <w:gridCol w:w="680"/>
      </w:tblGrid>
      <w:tr>
        <w:tc>
          <w:tcPr>
            <w:tcW w:type="dxa" w:w="4840"/>
          </w:tcPr>
          <w:p>
            <w:bookmarkStart w:id="4" w:name="entry_04"/>
            <w:pPr>
              <w:pStyle w:val="Heading1"/>
              <w:spacing w:line="448" w:lineRule="exact"/>
            </w:pPr>
            <w:r>
              <w:rPr>
                <w:b/>
                <w:i w:val="0"/>
                <w:color w:val="111111"/>
                <w:sz w:val="40"/>
              </w:rPr>
              <w:t>Tempo</w:t>
            </w:r>
            <w:bookmarkEnd w:id="4"/>
          </w:p>
        </w:tc>
        <w:tc>
          <w:tcPr>
            <w:tcW w:type="dxa" w:w="680"/>
          </w:tcPr>
          <w:p>
            <w:pPr>
              <w:spacing w:line="240" w:lineRule="auto"/>
              <w:jc w:val="right"/>
            </w:pPr>
            <w:r>
              <w:drawing>
                <wp:inline xmlns:a="http://schemas.openxmlformats.org/drawingml/2006/main" xmlns:pic="http://schemas.openxmlformats.org/drawingml/2006/picture">
                  <wp:extent cx="431800" cy="431800"/>
                  <wp:docPr id="16" name="Picture 16"/>
                  <wp:cNvGraphicFramePr>
                    <a:graphicFrameLocks noChangeAspect="1"/>
                  </wp:cNvGraphicFramePr>
                  <a:graphic>
                    <a:graphicData uri="http://schemas.openxmlformats.org/drawingml/2006/picture">
                      <pic:pic>
                        <pic:nvPicPr>
                          <pic:cNvPr id="0" name="image.png"/>
                          <pic:cNvPicPr/>
                        </pic:nvPicPr>
                        <pic:blipFill>
                          <a:blip r:embed="rId25"/>
                          <a:stretch>
                            <a:fillRect/>
                          </a:stretch>
                        </pic:blipFill>
                        <pic:spPr>
                          <a:xfrm>
                            <a:off x="0" y="0"/>
                            <a:ext cx="431800" cy="431800"/>
                          </a:xfrm>
                          <a:prstGeom prst="rect"/>
                        </pic:spPr>
                      </pic:pic>
                    </a:graphicData>
                  </a:graphic>
                </wp:inline>
              </w:drawing>
            </w:r>
          </w:p>
        </w:tc>
      </w:tr>
    </w:tbl>
    <w:p>
      <w:pPr>
        <w:spacing w:before="0" w:after="120" w:line="164"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Identify by</w:t>
            </w:r>
          </w:p>
        </w:tc>
        <w:tc>
          <w:tcPr>
            <w:tcW w:type="dxa" w:w="4120"/>
            <w:tcBorders>
              <w:top w:val="single" w:sz="8" w:space="0" w:color="111111"/>
            </w:tcBorders>
          </w:tcPr>
          <w:p>
            <w:pPr>
              <w:spacing w:line="172" w:lineRule="exact"/>
            </w:pPr>
            <w:r>
              <w:rPr>
                <w:b w:val="0"/>
                <w:i w:val="0"/>
                <w:color w:val="111111"/>
                <w:sz w:val="14"/>
              </w:rPr>
              <w:t>A move that brings out a piece and attacks the queen.</w:t>
            </w:r>
          </w:p>
        </w:tc>
      </w:tr>
      <w:tr>
        <w:tc>
          <w:tcPr>
            <w:tcW w:type="dxa" w:w="1400"/>
          </w:tcPr>
          <w:p>
            <w:pPr>
              <w:spacing w:line="172" w:lineRule="exact"/>
            </w:pPr>
            <w:r>
              <w:rPr>
                <w:b/>
                <w:i w:val="0"/>
                <w:color w:val="111111"/>
                <w:sz w:val="13"/>
              </w:rPr>
              <w:t>What</w:t>
            </w:r>
          </w:p>
        </w:tc>
        <w:tc>
          <w:tcPr>
            <w:tcW w:type="dxa" w:w="4120"/>
          </w:tcPr>
          <w:p>
            <w:pPr>
              <w:spacing w:line="172" w:lineRule="exact"/>
            </w:pPr>
            <w:r>
              <w:rPr>
                <w:b/>
                <w:i w:val="0"/>
                <w:color w:val="111111"/>
                <w:sz w:val="15"/>
              </w:rPr>
              <w:t>A tempo is one move’s worth of time.</w:t>
            </w:r>
            <w:r>
              <w:rPr>
                <w:b w:val="0"/>
                <w:i w:val="0"/>
                <w:color w:val="111111"/>
                <w:sz w:val="15"/>
              </w:rPr>
              <w:t xml:space="preserve"> A move that attacks a piece and makes it move again gains a tempo.</w:t>
            </w:r>
          </w:p>
        </w:tc>
      </w:tr>
      <w:tr>
        <w:tc>
          <w:tcPr>
            <w:tcW w:type="dxa" w:w="1400"/>
          </w:tcPr>
          <w:p>
            <w:pPr>
              <w:spacing w:line="172" w:lineRule="exact"/>
            </w:pPr>
            <w:r>
              <w:rPr>
                <w:b/>
                <w:i w:val="0"/>
                <w:color w:val="111111"/>
                <w:sz w:val="13"/>
              </w:rPr>
              <w:t>So what</w:t>
            </w:r>
          </w:p>
        </w:tc>
        <w:tc>
          <w:tcPr>
            <w:tcW w:type="dxa" w:w="4120"/>
          </w:tcPr>
          <w:p>
            <w:pPr>
              <w:spacing w:line="172" w:lineRule="exact"/>
            </w:pPr>
            <w:r>
              <w:rPr>
                <w:b/>
                <w:i w:val="0"/>
                <w:color w:val="111111"/>
                <w:sz w:val="15"/>
              </w:rPr>
              <w:t>With d4 undefended, 5…Nd4 attacks the queen and threatens Nxc2, hitting White’s king and rook at once.</w:t>
            </w:r>
            <w:r>
              <w:rPr>
                <w:b w:val="0"/>
                <w:i w:val="0"/>
                <w:color w:val="111111"/>
                <w:sz w:val="15"/>
              </w:rPr>
              <w:t xml:space="preserve"> After Qd1, continue with …Bg7 and castling.</w:t>
            </w: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840"/>
        <w:gridCol w:w="1840"/>
        <w:gridCol w:w="1840"/>
      </w:tblGrid>
      <w:tr>
        <w:tc>
          <w:tcPr>
            <w:tcW w:type="dxa" w:w="1840"/>
            <w:shd w:val="clear" w:color="auto" w:fill="EBEBEB"/>
          </w:tcPr>
          <w:p>
            <w:pPr>
              <w:spacing w:line="172" w:lineRule="exact"/>
            </w:pPr>
            <w:r>
              <w:rPr>
                <w:b/>
                <w:i w:val="0"/>
                <w:color w:val="5F5F5F"/>
                <w:sz w:val="13"/>
              </w:rPr>
              <w:t>Field marks</w:t>
            </w:r>
          </w:p>
        </w:tc>
        <w:tc>
          <w:tcPr>
            <w:tcW w:type="dxa" w:w="1840"/>
            <w:shd w:val="clear" w:color="auto" w:fill="EBEBEB"/>
          </w:tcPr>
          <w:p>
            <w:pPr>
              <w:spacing w:line="172" w:lineRule="exact"/>
            </w:pPr>
          </w:p>
        </w:tc>
        <w:tc>
          <w:tcPr>
            <w:tcW w:type="dxa" w:w="1840"/>
            <w:shd w:val="clear" w:color="auto" w:fill="EBEBEB"/>
          </w:tcPr>
          <w:p>
            <w:pPr>
              <w:spacing w:line="172" w:lineRule="exact"/>
            </w:pPr>
          </w:p>
        </w:tc>
      </w:tr>
      <w:tr>
        <w:tc>
          <w:tcPr>
            <w:tcW w:type="dxa" w:w="1840"/>
            <w:shd w:val="clear" w:color="auto" w:fill="EBEBEB"/>
          </w:tcPr>
          <w:p>
            <w:pPr>
              <w:spacing w:line="172" w:lineRule="exact"/>
            </w:pPr>
            <w:r>
              <w:rPr>
                <w:b/>
                <w:i w:val="0"/>
                <w:color w:val="5F5F5F"/>
                <w:sz w:val="13"/>
              </w:rPr>
              <w:t>Watch for</w:t>
            </w:r>
            <w:r>
              <w:br/>
            </w:r>
            <w:r>
              <w:rPr>
                <w:b/>
                <w:i w:val="0"/>
                <w:color w:val="111111"/>
                <w:sz w:val="14"/>
              </w:rPr>
              <w:t>A useful attack on the queen.</w:t>
            </w:r>
          </w:p>
        </w:tc>
        <w:tc>
          <w:tcPr>
            <w:tcW w:type="dxa" w:w="1840"/>
            <w:shd w:val="clear" w:color="auto" w:fill="EBEBEB"/>
          </w:tcPr>
          <w:p>
            <w:pPr>
              <w:spacing w:line="172" w:lineRule="exact"/>
            </w:pPr>
            <w:r>
              <w:rPr>
                <w:b/>
                <w:i w:val="0"/>
                <w:color w:val="5F5F5F"/>
                <w:sz w:val="13"/>
              </w:rPr>
              <w:t>Your answer</w:t>
            </w:r>
            <w:r>
              <w:br/>
            </w:r>
            <w:r>
              <w:rPr>
                <w:b/>
                <w:i w:val="0"/>
                <w:color w:val="111111"/>
                <w:sz w:val="14"/>
              </w:rPr>
              <w:t>Bring out a piece with a threat.</w:t>
            </w:r>
          </w:p>
        </w:tc>
        <w:tc>
          <w:tcPr>
            <w:tcW w:type="dxa" w:w="1840"/>
            <w:shd w:val="clear" w:color="auto" w:fill="EBEBEB"/>
          </w:tcPr>
          <w:p>
            <w:pPr>
              <w:spacing w:line="172" w:lineRule="exact"/>
            </w:pPr>
          </w:p>
        </w:tc>
      </w:tr>
    </w:tbl>
    <w:p>
      <w:pPr>
        <w:spacing w:before="0" w:after="40" w:line="55" w:lineRule="exact"/>
      </w:pP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0" w:type="dxa"/>
          <w:bottom w:w="60" w:type="dxa"/>
          <w:right w:w="80" w:type="dxa"/>
        </w:tblCellMar>
        <w:tblLayout w:type="fixed"/>
      </w:tblPr>
      <w:tblGrid>
        <w:gridCol w:w="1400"/>
        <w:gridCol w:w="4120"/>
      </w:tblGrid>
      <w:tr>
        <w:tc>
          <w:tcPr>
            <w:tcW w:type="dxa" w:w="1400"/>
            <w:tcBorders>
              <w:top w:val="single" w:sz="8" w:space="0" w:color="111111"/>
            </w:tcBorders>
          </w:tcPr>
          <w:p>
            <w:pPr>
              <w:spacing w:line="172" w:lineRule="exact"/>
            </w:pPr>
            <w:r>
              <w:rPr>
                <w:b/>
                <w:i w:val="0"/>
                <w:color w:val="111111"/>
                <w:sz w:val="13"/>
              </w:rPr>
              <w:t>Confused with</w:t>
            </w:r>
          </w:p>
        </w:tc>
        <w:tc>
          <w:tcPr>
            <w:tcW w:type="dxa" w:w="4120"/>
            <w:tcBorders>
              <w:top w:val="single" w:sz="8" w:space="0" w:color="111111"/>
            </w:tcBorders>
          </w:tcPr>
          <w:p>
            <w:pPr>
              <w:spacing w:line="172" w:lineRule="exact"/>
            </w:pPr>
            <w:r>
              <w:rPr>
                <w:b/>
                <w:i w:val="0"/>
                <w:color w:val="111111"/>
                <w:sz w:val="14"/>
              </w:rPr>
              <w:t>Time on the clock</w:t>
            </w:r>
            <w:r>
              <w:br/>
            </w:r>
            <w:r>
              <w:rPr>
                <w:b w:val="0"/>
                <w:i w:val="0"/>
                <w:color w:val="111111"/>
                <w:sz w:val="14"/>
              </w:rPr>
              <w:t>A tempo counts moves, not minutes.</w:t>
            </w:r>
          </w:p>
        </w:tc>
      </w:tr>
    </w:tbl>
    <w:p>
      <w:pPr>
        <w:spacing w:before="0" w:after="40" w:line="55" w:lineRule="exact"/>
      </w:pPr>
    </w:p>
    <w:p>
      <w:r>
        <w:br w:type="page"/>
      </w:r>
    </w:p>
    <w:p>
      <w:pPr>
        <w:pStyle w:val="Heading1"/>
        <w:keepNext/>
        <w:spacing w:before="0" w:after="160" w:line="381" w:lineRule="exact"/>
      </w:pPr>
      <w:r>
        <w:rPr>
          <w:b/>
          <w:i w:val="0"/>
          <w:color w:val="111111"/>
          <w:sz w:val="34"/>
        </w:rPr>
        <w:t>What do you play</w:t>
      </w:r>
      <w:r>
        <w:br/>
      </w:r>
      <w:r>
        <w:rPr>
          <w:b/>
          <w:i w:val="0"/>
          <w:color w:val="111111"/>
          <w:sz w:val="34"/>
        </w:rPr>
        <w:t>against it?</w:t>
      </w:r>
    </w:p>
    <w:p>
      <w:pPr>
        <w:spacing w:before="0" w:after="120" w:line="208" w:lineRule="exact"/>
      </w:pPr>
      <w:r>
        <w:rPr>
          <w:b w:val="0"/>
          <w:i w:val="0"/>
          <w:color w:val="111111"/>
          <w:sz w:val="15"/>
        </w:rPr>
        <w:t>Find White’s last move, then play the reply beside it.</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70" w:type="dxa"/>
          <w:left w:w="140" w:type="dxa"/>
          <w:bottom w:w="60" w:type="dxa"/>
          <w:right w:w="80" w:type="dxa"/>
        </w:tblCellMar>
        <w:tblLayout w:type="fixed"/>
      </w:tblPr>
      <w:tblGrid>
        <w:gridCol w:w="1560"/>
        <w:gridCol w:w="3960"/>
      </w:tblGrid>
      <w:tr>
        <w:tc>
          <w:tcPr>
            <w:tcW w:type="dxa" w:w="1560"/>
            <w:shd w:val="clear" w:color="auto" w:fill="EBEBEB"/>
          </w:tcPr>
          <w:p>
            <w:pPr>
              <w:spacing w:line="172" w:lineRule="exact"/>
            </w:pPr>
            <w:r>
              <w:rPr>
                <w:b/>
                <w:i w:val="0"/>
                <w:color w:val="111111"/>
                <w:sz w:val="13"/>
              </w:rPr>
              <w:t>2.Qh5 Nc6</w:t>
            </w:r>
          </w:p>
        </w:tc>
        <w:tc>
          <w:tcPr>
            <w:tcW w:type="dxa" w:w="3960"/>
            <w:shd w:val="clear" w:color="auto" w:fill="EBEBEB"/>
          </w:tcPr>
          <w:p>
            <w:pPr>
              <w:spacing w:line="172" w:lineRule="exact"/>
            </w:pPr>
            <w:r>
              <w:rPr>
                <w:b w:val="0"/>
                <w:i w:val="0"/>
                <w:color w:val="111111"/>
                <w:sz w:val="14"/>
              </w:rPr>
              <w:t>Defend e5 and bring out your queen’s knight.</w:t>
            </w:r>
          </w:p>
        </w:tc>
      </w:tr>
      <w:tr>
        <w:tc>
          <w:tcPr>
            <w:tcW w:type="dxa" w:w="1560"/>
            <w:shd w:val="clear" w:color="auto" w:fill="EBEBEB"/>
          </w:tcPr>
          <w:p>
            <w:pPr>
              <w:spacing w:line="172" w:lineRule="exact"/>
            </w:pPr>
            <w:r>
              <w:rPr>
                <w:b/>
                <w:i w:val="0"/>
                <w:color w:val="111111"/>
                <w:sz w:val="13"/>
              </w:rPr>
              <w:t>3.Bc4 g6</w:t>
            </w:r>
          </w:p>
        </w:tc>
        <w:tc>
          <w:tcPr>
            <w:tcW w:type="dxa" w:w="3960"/>
            <w:shd w:val="clear" w:color="auto" w:fill="EBEBEB"/>
          </w:tcPr>
          <w:p>
            <w:pPr>
              <w:spacing w:line="172" w:lineRule="exact"/>
            </w:pPr>
            <w:r>
              <w:rPr>
                <w:b w:val="0"/>
                <w:i w:val="0"/>
                <w:color w:val="111111"/>
                <w:sz w:val="14"/>
              </w:rPr>
              <w:t>Block the queen’s line and attack her. 3…Qe7, which guards f7, is also safe.</w:t>
            </w:r>
          </w:p>
        </w:tc>
      </w:tr>
      <w:tr>
        <w:tc>
          <w:tcPr>
            <w:tcW w:type="dxa" w:w="1560"/>
            <w:shd w:val="clear" w:color="auto" w:fill="EBEBEB"/>
          </w:tcPr>
          <w:p>
            <w:pPr>
              <w:spacing w:line="172" w:lineRule="exact"/>
            </w:pPr>
            <w:r>
              <w:rPr>
                <w:b/>
                <w:i w:val="0"/>
                <w:color w:val="111111"/>
                <w:sz w:val="13"/>
              </w:rPr>
              <w:t>4.Qf3 Nf6</w:t>
            </w:r>
          </w:p>
        </w:tc>
        <w:tc>
          <w:tcPr>
            <w:tcW w:type="dxa" w:w="3960"/>
            <w:shd w:val="clear" w:color="auto" w:fill="EBEBEB"/>
          </w:tcPr>
          <w:p>
            <w:pPr>
              <w:spacing w:line="172" w:lineRule="exact"/>
            </w:pPr>
            <w:r>
              <w:rPr>
                <w:b w:val="0"/>
                <w:i w:val="0"/>
                <w:color w:val="111111"/>
                <w:sz w:val="14"/>
              </w:rPr>
              <w:t>Block the queen’s new line to f7 and bring out your king’s knight.</w:t>
            </w:r>
          </w:p>
        </w:tc>
      </w:tr>
      <w:tr>
        <w:tc>
          <w:tcPr>
            <w:tcW w:type="dxa" w:w="1560"/>
            <w:shd w:val="clear" w:color="auto" w:fill="EBEBEB"/>
          </w:tcPr>
          <w:p>
            <w:pPr>
              <w:spacing w:line="172" w:lineRule="exact"/>
            </w:pPr>
            <w:r>
              <w:rPr>
                <w:b/>
                <w:i w:val="0"/>
                <w:color w:val="111111"/>
                <w:sz w:val="13"/>
              </w:rPr>
              <w:t>5.Nc3 Nd4</w:t>
            </w:r>
          </w:p>
        </w:tc>
        <w:tc>
          <w:tcPr>
            <w:tcW w:type="dxa" w:w="3960"/>
            <w:shd w:val="clear" w:color="auto" w:fill="EBEBEB"/>
          </w:tcPr>
          <w:p>
            <w:pPr>
              <w:spacing w:line="172" w:lineRule="exact"/>
            </w:pPr>
            <w:r>
              <w:rPr>
                <w:b w:val="0"/>
                <w:i w:val="0"/>
                <w:color w:val="111111"/>
                <w:sz w:val="14"/>
              </w:rPr>
              <w:t>With d4 undefended, attack the queen and threaten Nxc2.</w:t>
            </w:r>
          </w:p>
        </w:tc>
      </w:tr>
      <w:tr>
        <w:tc>
          <w:tcPr>
            <w:tcW w:type="dxa" w:w="1560"/>
            <w:shd w:val="clear" w:color="auto" w:fill="EBEBEB"/>
          </w:tcPr>
          <w:p>
            <w:pPr>
              <w:spacing w:line="172" w:lineRule="exact"/>
            </w:pPr>
            <w:r>
              <w:rPr>
                <w:b/>
                <w:i w:val="0"/>
                <w:color w:val="111111"/>
                <w:sz w:val="13"/>
              </w:rPr>
              <w:t>2.Bc4 Nf6</w:t>
            </w:r>
          </w:p>
        </w:tc>
        <w:tc>
          <w:tcPr>
            <w:tcW w:type="dxa" w:w="3960"/>
            <w:shd w:val="clear" w:color="auto" w:fill="EBEBEB"/>
          </w:tcPr>
          <w:p>
            <w:pPr>
              <w:spacing w:line="172" w:lineRule="exact"/>
            </w:pPr>
            <w:r>
              <w:rPr>
                <w:b w:val="0"/>
                <w:i w:val="0"/>
                <w:color w:val="111111"/>
                <w:sz w:val="14"/>
              </w:rPr>
              <w:t>Bring out your king’s knight before the queen reaches h5, so Qh5 loses the queen to Nxh5.</w:t>
            </w:r>
          </w:p>
        </w:tc>
      </w:tr>
    </w:tbl>
    <w:p>
      <w:pPr>
        <w:spacing w:before="0" w:after="40" w:line="55" w:lineRule="exact"/>
      </w:pPr>
    </w:p>
    <w:p>
      <w:pPr>
        <w:spacing w:before="0" w:after="120" w:line="208" w:lineRule="exact"/>
      </w:pPr>
      <w:r>
        <w:rPr>
          <w:b w:val="0"/>
          <w:i w:val="0"/>
          <w:color w:val="111111"/>
          <w:sz w:val="15"/>
        </w:rPr>
        <w:t>Then keep bringing out your pieces and castle. White’s early queen moves have cost time.</w:t>
      </w:r>
    </w:p>
    <w:p>
      <w:pPr>
        <w:sectPr>
          <w:footerReference w:type="default" r:id="rId20"/>
          <w:pgSz w:w="6480" w:h="10800"/>
          <w:pgMar w:top="560" w:right="480" w:bottom="720" w:left="480" w:header="240" w:footer="280" w:gutter="0"/>
          <w:pgNumType w:start="2"/>
          <w:cols w:space="720"/>
          <w:docGrid w:linePitch="360"/>
        </w:sectPr>
      </w:pPr>
    </w:p>
    <w:p>
      <w:pPr>
        <w:pStyle w:val="Heading1"/>
        <w:keepNext/>
        <w:spacing w:before="0" w:after="160" w:line="381" w:lineRule="exact"/>
      </w:pPr>
      <w:r>
        <w:rPr>
          <w:b/>
          <w:i w:val="0"/>
          <w:color w:val="111111"/>
          <w:sz w:val="34"/>
        </w:rPr>
        <w:t>Sources</w:t>
      </w:r>
    </w:p>
    <w:p>
      <w:pPr>
        <w:spacing w:before="0" w:after="160" w:line="208" w:lineRule="exact"/>
      </w:pPr>
      <w:r>
        <w:rPr>
          <w:b w:val="0"/>
          <w:i w:val="0"/>
          <w:color w:val="111111"/>
          <w:sz w:val="15"/>
        </w:rPr>
        <w:t>These public sources were checked on 22 October 2026.</w:t>
      </w:r>
    </w:p>
    <w:tbl>
      <w:tblPr>
        <w:tblW w:type="dxa" w:w="5520"/>
        <w:jc w:val="left"/>
        <w:tblLayout w:type="fixed"/>
        <w:tblLook w:firstColumn="1" w:firstRow="1" w:lastColumn="0" w:lastRow="0" w:noHBand="0" w:noVBand="1" w:val="04A0"/>
        <w:tblBorders>
          <w:top w:val="nil"/>
          <w:left w:val="nil"/>
          <w:bottom w:val="nil"/>
          <w:right w:val="nil"/>
          <w:insideH w:val="nil"/>
          <w:insideV w:val="nil"/>
        </w:tblBorders>
        <w:tblCellMar>
          <w:top w:w="50" w:type="dxa"/>
          <w:left w:w="0" w:type="dxa"/>
          <w:bottom w:w="40" w:type="dxa"/>
          <w:right w:w="80" w:type="dxa"/>
        </w:tblCellMar>
        <w:tblLayout w:type="fixed"/>
      </w:tblPr>
      <w:tblGrid>
        <w:gridCol w:w="5520"/>
      </w:tblGrid>
      <w:tr>
        <w:tc>
          <w:tcPr>
            <w:tcW w:type="dxa" w:w="5520"/>
            <w:tcBorders>
              <w:top w:val="single" w:sz="8" w:space="0" w:color="111111"/>
            </w:tcBorders>
          </w:tcPr>
          <w:p>
            <w:pPr>
              <w:spacing w:line="172" w:lineRule="exact"/>
            </w:pPr>
            <w:r>
              <w:rPr>
                <w:b/>
                <w:i w:val="0"/>
                <w:color w:val="111111"/>
                <w:sz w:val="13"/>
              </w:rPr>
              <w:t>Wikipedia, Scholar’s mate</w:t>
            </w:r>
            <w:r>
              <w:br/>
            </w:r>
            <w:r>
              <w:rPr>
                <w:b w:val="0"/>
                <w:i w:val="0"/>
                <w:color w:val="5F5F5F"/>
                <w:sz w:val="12"/>
              </w:rPr>
              <w:t xml:space="preserve">October 2026 · </w:t>
            </w:r>
            <w:r>
              <w:rPr>
                <w:rFonts w:ascii="Liberation Mono" w:hAnsi="Liberation Mono"/>
                <w:b w:val="0"/>
                <w:i w:val="0"/>
                <w:color w:val="5F5F5F"/>
                <w:sz w:val="11"/>
              </w:rPr>
              <w:t>en.wikipedia.org/wiki/Scholar%27s_mate</w:t>
            </w:r>
          </w:p>
        </w:tc>
      </w:tr>
      <w:tr>
        <w:tc>
          <w:tcPr>
            <w:tcW w:type="dxa" w:w="5520"/>
          </w:tcPr>
          <w:p>
            <w:pPr>
              <w:spacing w:line="172" w:lineRule="exact"/>
            </w:pPr>
            <w:r>
              <w:rPr>
                <w:b/>
                <w:i w:val="0"/>
                <w:color w:val="111111"/>
                <w:sz w:val="13"/>
              </w:rPr>
              <w:t>Wikipedia, Danvers Opening</w:t>
            </w:r>
            <w:r>
              <w:br/>
            </w:r>
            <w:r>
              <w:rPr>
                <w:b w:val="0"/>
                <w:i w:val="0"/>
                <w:color w:val="5F5F5F"/>
                <w:sz w:val="12"/>
              </w:rPr>
              <w:t xml:space="preserve">October 2026 · </w:t>
            </w:r>
            <w:r>
              <w:rPr>
                <w:rFonts w:ascii="Liberation Mono" w:hAnsi="Liberation Mono"/>
                <w:b w:val="0"/>
                <w:i w:val="0"/>
                <w:color w:val="5F5F5F"/>
                <w:sz w:val="11"/>
              </w:rPr>
              <w:t>en.wikipedia.org/wiki/Danvers_Opening</w:t>
            </w:r>
          </w:p>
        </w:tc>
      </w:tr>
      <w:tr>
        <w:tc>
          <w:tcPr>
            <w:tcW w:type="dxa" w:w="5520"/>
          </w:tcPr>
          <w:p>
            <w:pPr>
              <w:spacing w:line="172" w:lineRule="exact"/>
            </w:pPr>
            <w:r>
              <w:rPr>
                <w:b/>
                <w:i w:val="0"/>
                <w:color w:val="111111"/>
                <w:sz w:val="13"/>
              </w:rPr>
              <w:t>Wikipedia, Tempo (chess)</w:t>
            </w:r>
            <w:r>
              <w:br/>
            </w:r>
            <w:r>
              <w:rPr>
                <w:b w:val="0"/>
                <w:i w:val="0"/>
                <w:color w:val="5F5F5F"/>
                <w:sz w:val="12"/>
              </w:rPr>
              <w:t xml:space="preserve">October 2026 · </w:t>
            </w:r>
            <w:r>
              <w:rPr>
                <w:rFonts w:ascii="Liberation Mono" w:hAnsi="Liberation Mono"/>
                <w:b w:val="0"/>
                <w:i w:val="0"/>
                <w:color w:val="5F5F5F"/>
                <w:sz w:val="11"/>
              </w:rPr>
              <w:t>en.wikipedia.org/wiki/Tempo_(chess)</w:t>
            </w:r>
          </w:p>
        </w:tc>
      </w:tr>
      <w:tr>
        <w:tc>
          <w:tcPr>
            <w:tcW w:type="dxa" w:w="5520"/>
          </w:tcPr>
          <w:p>
            <w:pPr>
              <w:spacing w:line="172" w:lineRule="exact"/>
            </w:pPr>
            <w:r>
              <w:rPr>
                <w:b/>
                <w:i w:val="0"/>
                <w:color w:val="111111"/>
                <w:sz w:val="13"/>
              </w:rPr>
              <w:t>Wikibooks, Chess Opening Theory, 1.e4 e5 2.Qh5</w:t>
            </w:r>
            <w:r>
              <w:br/>
            </w:r>
            <w:r>
              <w:rPr>
                <w:b w:val="0"/>
                <w:i w:val="0"/>
                <w:color w:val="5F5F5F"/>
                <w:sz w:val="12"/>
              </w:rPr>
              <w:t xml:space="preserve">October 2026 · </w:t>
            </w:r>
            <w:r>
              <w:rPr>
                <w:rFonts w:ascii="Liberation Mono" w:hAnsi="Liberation Mono"/>
                <w:b w:val="0"/>
                <w:i w:val="0"/>
                <w:color w:val="5F5F5F"/>
                <w:sz w:val="11"/>
              </w:rPr>
              <w:t>en.wikibooks.org/wiki/Chess_Opening_Theory/1._e4/1...e5/2._Qh5</w:t>
            </w:r>
          </w:p>
        </w:tc>
      </w:tr>
      <w:tr>
        <w:tc>
          <w:tcPr>
            <w:tcW w:type="dxa" w:w="5520"/>
          </w:tcPr>
          <w:p>
            <w:pPr>
              <w:spacing w:line="172" w:lineRule="exact"/>
            </w:pPr>
            <w:r>
              <w:rPr>
                <w:b/>
                <w:i w:val="0"/>
                <w:color w:val="111111"/>
                <w:sz w:val="13"/>
              </w:rPr>
              <w:t>Chess.com, Scholar’s Mate</w:t>
            </w:r>
            <w:r>
              <w:br/>
            </w:r>
            <w:r>
              <w:rPr>
                <w:b w:val="0"/>
                <w:i w:val="0"/>
                <w:color w:val="5F5F5F"/>
                <w:sz w:val="12"/>
              </w:rPr>
              <w:t xml:space="preserve">October 2026 · </w:t>
            </w:r>
            <w:r>
              <w:rPr>
                <w:rFonts w:ascii="Liberation Mono" w:hAnsi="Liberation Mono"/>
                <w:b w:val="0"/>
                <w:i w:val="0"/>
                <w:color w:val="5F5F5F"/>
                <w:sz w:val="11"/>
              </w:rPr>
              <w:t>chess.com/terms/scholars-mate-chess</w:t>
            </w:r>
          </w:p>
        </w:tc>
      </w:tr>
      <w:tr>
        <w:tc>
          <w:tcPr>
            <w:tcW w:type="dxa" w:w="5520"/>
          </w:tcPr>
          <w:p>
            <w:pPr>
              <w:spacing w:line="172" w:lineRule="exact"/>
            </w:pPr>
            <w:r>
              <w:rPr>
                <w:b/>
                <w:i w:val="0"/>
                <w:color w:val="111111"/>
                <w:sz w:val="13"/>
              </w:rPr>
              <w:t>Chess.com, Tempo</w:t>
            </w:r>
            <w:r>
              <w:br/>
            </w:r>
            <w:r>
              <w:rPr>
                <w:b w:val="0"/>
                <w:i w:val="0"/>
                <w:color w:val="5F5F5F"/>
                <w:sz w:val="12"/>
              </w:rPr>
              <w:t xml:space="preserve">October 2026 · </w:t>
            </w:r>
            <w:r>
              <w:rPr>
                <w:rFonts w:ascii="Liberation Mono" w:hAnsi="Liberation Mono"/>
                <w:b w:val="0"/>
                <w:i w:val="0"/>
                <w:color w:val="5F5F5F"/>
                <w:sz w:val="11"/>
              </w:rPr>
              <w:t>chess.com/terms/tempo-chess</w:t>
            </w:r>
          </w:p>
        </w:tc>
      </w:tr>
    </w:tbl>
    <w:p>
      <w:pPr>
        <w:spacing w:before="0" w:after="40" w:line="55" w:lineRule="exact"/>
      </w:pPr>
    </w:p>
    <w:p>
      <w:pPr>
        <w:spacing w:before="0" w:after="480" w:line="208" w:lineRule="exact"/>
      </w:pPr>
    </w:p>
    <w:p>
      <w:pPr>
        <w:spacing w:before="0" w:after="120" w:line="208" w:lineRule="atLeast"/>
      </w:pPr>
      <w:r>
        <w:rPr>
          <w:position w:val="-10"/>
        </w:rPr>
        <w:drawing>
          <wp:inline xmlns:a="http://schemas.openxmlformats.org/drawingml/2006/main" xmlns:pic="http://schemas.openxmlformats.org/drawingml/2006/picture">
            <wp:extent cx="254000" cy="254000"/>
            <wp:docPr id="17" name="Picture 17"/>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18" name="Picture 18"/>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19" name="Picture 19"/>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254000" cy="254000"/>
                    </a:xfrm>
                    <a:prstGeom prst="rect"/>
                  </pic:spPr>
                </pic:pic>
              </a:graphicData>
            </a:graphic>
          </wp:inline>
        </w:drawing>
      </w:r>
      <w:r>
        <w:rPr>
          <w:b w:val="0"/>
          <w:i w:val="0"/>
          <w:color w:val="111111"/>
          <w:sz w:val="12"/>
        </w:rPr>
        <w:t xml:space="preserve"> </w:t>
      </w:r>
      <w:r>
        <w:rPr>
          <w:position w:val="-10"/>
        </w:rPr>
        <w:drawing>
          <wp:inline xmlns:a="http://schemas.openxmlformats.org/drawingml/2006/main" xmlns:pic="http://schemas.openxmlformats.org/drawingml/2006/picture">
            <wp:extent cx="254000" cy="254000"/>
            <wp:docPr id="20" name="Picture 20"/>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254000" cy="254000"/>
                    </a:xfrm>
                    <a:prstGeom prst="rect"/>
                  </pic:spPr>
                </pic:pic>
              </a:graphicData>
            </a:graphic>
          </wp:inline>
        </w:drawing>
      </w:r>
    </w:p>
    <w:p>
      <w:pPr>
        <w:spacing w:before="0" w:after="20" w:line="175" w:lineRule="exact"/>
      </w:pPr>
      <w:r>
        <w:rPr>
          <w:b w:val="0"/>
          <w:i w:val="0"/>
          <w:color w:val="5F5F5F"/>
          <w:sz w:val="12"/>
        </w:rPr>
        <w:t>An Accidental Guide to…</w:t>
      </w:r>
    </w:p>
    <w:p>
      <w:pPr>
        <w:spacing w:before="0" w:after="20" w:line="208" w:lineRule="exact"/>
      </w:pPr>
      <w:r>
        <w:rPr>
          <w:b/>
          <w:i w:val="0"/>
          <w:color w:val="111111"/>
          <w:sz w:val="15"/>
        </w:rPr>
        <w:t>Stopping Scholar’s Mate</w:t>
      </w:r>
    </w:p>
    <w:p>
      <w:pPr>
        <w:spacing w:before="0" w:after="20" w:line="175" w:lineRule="exact"/>
      </w:pPr>
      <w:r>
        <w:rPr>
          <w:b w:val="0"/>
          <w:i w:val="0"/>
          <w:color w:val="5F5F5F"/>
          <w:sz w:val="12"/>
        </w:rPr>
        <w:t>A pocket-sized guide to spotting the four-move checkmate, and making it backfire.</w:t>
      </w:r>
    </w:p>
    <w:p>
      <w:pPr>
        <w:spacing w:before="0" w:after="20" w:line="175" w:lineRule="exact"/>
      </w:pPr>
      <w:r>
        <w:rPr>
          <w:b w:val="0"/>
          <w:i w:val="0"/>
          <w:color w:val="5F5F5F"/>
          <w:sz w:val="12"/>
        </w:rPr>
        <w:t>Written and reviewed by a person. AI does the grunt work. Set in TeX Gyre Heros and Newsreader.</w:t>
      </w:r>
    </w:p>
    <w:p>
      <w:pPr>
        <w:spacing w:before="0" w:after="0" w:line="175" w:lineRule="exact"/>
      </w:pPr>
      <w:r>
        <w:rPr>
          <w:b w:val="0"/>
          <w:i w:val="0"/>
          <w:color w:val="5F5F5F"/>
          <w:sz w:val="12"/>
        </w:rPr>
        <w:t xml:space="preserve">Leave a star: </w:t>
      </w:r>
      <w:hyperlink r:id="rId31">
        <w:r>
          <w:rPr>
            <w:rFonts w:ascii="Liberation Mono" w:hAnsi="Liberation Mono"/>
            <w:b w:val="0"/>
            <w:i w:val="0"/>
            <w:color w:val="5F5F5F"/>
            <w:sz w:val="11"/>
          </w:rPr>
          <w:t>accidental.info/star</w:t>
        </w:r>
      </w:hyperlink>
    </w:p>
    <w:sectPr w:rsidR="00FC693F" w:rsidRPr="0006063C" w:rsidSect="00034616">
      <w:footerReference w:type="default" r:id="rId26"/>
      <w:pgSz w:w="6480" w:h="10800"/>
      <w:pgMar w:top="560" w:right="480" w:bottom="720" w:left="480" w:header="240" w:footer="280" w:gutter="0"/>
      <w:pgNumType w:start="2"/>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eX Gyre Heros">
    <w:embedRegular r:id="rId1" w:fontKey="{5EC546EC-F059-59CE-8A64-BCD57125CBA2}"/>
    <w:embedBold r:id="rId2" w:fontKey="{A6006551-B904-520C-977A-F1C63E44D182}"/>
    <w:embedItalic r:id="rId3" w:fontKey="{48D6A6AF-3226-58CB-A2EA-7C148E031C1F}"/>
  </w:font>
  <w:font w:name="Liberation Mono">
    <w:embedRegular r:id="rId4" w:fontKey="{89288D88-EA6C-5E4F-9613-4719C887D110}"/>
  </w:font>
  <w:font w:name="Newsreader">
    <w:embedItalic r:id="rId5" w:fontKey="{E81FB67D-DDC7-5587-B5BE-E81CDCD23823}"/>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r>
      <w:rPr>
        <w:b w:val="0"/>
        <w:i w:val="0"/>
        <w:color w:val="5F5F5F"/>
        <w:sz w:val="12"/>
      </w:rPr>
      <w:t>friend@accidental.info · October 2026 · Version 0.3.0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5520" w:val="right"/>
      </w:tabs>
    </w:pPr>
    <w:r>
      <w:rPr>
        <w:b w:val="0"/>
        <w:i w:val="0"/>
        <w:color w:val="5F5F5F"/>
        <w:sz w:val="12"/>
      </w:rPr>
      <w:t>Stopping Scholar’s Mate</w:t>
    </w:r>
    <w:r>
      <w:rPr>
        <w:b w:val="0"/>
        <w:i w:val="0"/>
        <w:color w:val="5F5F5F"/>
        <w:sz w:val="12"/>
      </w:rPr>
      <w:tab/>
    </w:r>
    <w:r>
      <w:fldChar w:fldCharType="begin"/>
    </w:r>
    <w:r>
      <w:instrText xml:space="preserve"> PAGE </w:instrText>
    </w:r>
    <w:r>
      <w:fldChar w:fldCharType="separate"/>
    </w:r>
    <w:r>
      <w:rPr>
        <w:b w:val="0"/>
        <w:i w:val="0"/>
        <w:color w:val="5F5F5F"/>
        <w:sz w:val="12"/>
      </w:rPr>
      <w:t>2</w:t>
    </w:r>
    <w: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60"/>
      <w:jc w:val="right"/>
    </w:pPr>
    <w:r>
      <w:rPr>
        <w:rFonts w:ascii="Newsreader" w:hAnsi="Newsreader"/>
        <w:b w:val="0"/>
        <w:i/>
        <w:color w:val="111111"/>
        <w:sz w:val="18"/>
      </w:rPr>
      <w:t>My friend has a lot of questions.</w:t>
    </w:r>
  </w:p>
  <w:p>
    <w:pPr>
      <w:pBdr>
        <w:top w:val="single" w:sz="8" w:space="4" w:color="111111"/>
      </w:pBdr>
    </w:pPr>
    <w:hyperlink r:id="rId1">
      <w:r>
        <w:rPr>
          <w:b w:val="0"/>
          <w:i w:val="0"/>
          <w:color w:val="5F5F5F"/>
          <w:sz w:val="12"/>
        </w:rPr>
        <w:t>oops@accidental.info</w:t>
      </w:r>
    </w:hyperlink>
    <w:r>
      <w:rPr>
        <w:b w:val="0"/>
        <w:i w:val="0"/>
        <w:color w:val="5F5F5F"/>
        <w:sz w:val="12"/>
      </w:rPr>
      <w:t xml:space="preserve"> · CC BY 4.0 · October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TeX Gyre Heros" w:hAnsi="TeX Gyre Heros" w:cs="TeX Gyre Heros" w:eastAsia="TeX Gyre Heros"/>
      <w:color w:val="111111"/>
      <w:sz w:val="15"/>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0"/>
      <w:outlineLvl w:val="0"/>
    </w:pPr>
    <w:rPr>
      <w:rFonts w:ascii="TeX Gyre Heros" w:hAnsi="TeX Gyre Heros" w:cs="TeX Gyre Heros" w:eastAsia="TeX Gyre Heros"/>
      <w:bCs/>
      <w:color w:val="111111"/>
      <w:sz w:val="28"/>
      <w:szCs w:val="28"/>
    </w:rPr>
  </w:style>
  <w:style w:type="paragraph" w:styleId="Heading2">
    <w:name w:val="heading 2"/>
    <w:basedOn w:val="Normal"/>
    <w:next w:val="Normal"/>
    <w:link w:val="Heading2Char"/>
    <w:uiPriority w:val="9"/>
    <w:unhideWhenUsed/>
    <w:qFormat/>
    <w:rsid w:val="00FC693F"/>
    <w:pPr>
      <w:keepNext/>
      <w:keepLines/>
      <w:spacing w:before="0" w:after="0"/>
      <w:outlineLvl w:val="1"/>
    </w:pPr>
    <w:rPr>
      <w:rFonts w:ascii="TeX Gyre Heros" w:hAnsi="TeX Gyre Heros" w:cs="TeX Gyre Heros" w:eastAsia="TeX Gyre Heros"/>
      <w:bCs/>
      <w:color w:val="11111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before="0"/>
      <w:contextualSpacing/>
    </w:pPr>
    <w:rPr>
      <w:rFonts w:ascii="TeX Gyre Heros" w:hAnsi="TeX Gyre Heros" w:cs="TeX Gyre Heros" w:eastAsia="TeX Gyre Heros"/>
      <w:color w:val="111111"/>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footer" Target="footer1.xml"/><Relationship Id="rId20" Type="http://schemas.openxmlformats.org/officeDocument/2006/relationships/footer" Target="footer2.xml"/><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footer" Target="footer3.xml"/><Relationship Id="rId27" Type="http://schemas.openxmlformats.org/officeDocument/2006/relationships/image" Target="media/image16.png"/><Relationship Id="rId28" Type="http://schemas.openxmlformats.org/officeDocument/2006/relationships/image" Target="media/image17.png"/><Relationship Id="rId29" Type="http://schemas.openxmlformats.org/officeDocument/2006/relationships/image" Target="media/image18.png"/><Relationship Id="rId30" Type="http://schemas.openxmlformats.org/officeDocument/2006/relationships/image" Target="media/image19.png"/><Relationship Id="rId31" Type="http://schemas.openxmlformats.org/officeDocument/2006/relationships/hyperlink" Target="https://accidental.info/sta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s>
</file>

<file path=word/_rels/footer3.xml.rels><?xml version='1.0' encoding='UTF-8' standalone='yes'?>
<Relationships xmlns="http://schemas.openxmlformats.org/package/2006/relationships"><Relationship Id="rId1" Type="http://schemas.openxmlformats.org/officeDocument/2006/relationships/hyperlink" Target="mailto:oops@accidental.inf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Stopping Scholar’s Mate</dc:title>
  <dc:subject>A pocket-sized guide to spotting the four-move checkmate, and making it backfire.</dc:subject>
  <dc:creator>Accidental Guides</dc:creator>
  <cp:keywords/>
  <dc:description/>
  <cp:lastModifiedBy>Accidental Guides</cp:lastModifiedBy>
  <cp:revision>1</cp:revision>
  <dcterms:created xsi:type="dcterms:W3CDTF">1999-12-31T00:00:00Z</dcterms:created>
  <dcterms:modified xsi:type="dcterms:W3CDTF">1999-12-31T00:00:00Z</dcterms:modified>
  <cp:category/>
  <cp:lastPrinted>1999-12-31T00:00:00Z</cp:lastPrinted>
</cp:coreProperties>
</file>